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4675" w14:textId="6BA38943" w:rsidR="00657A0C" w:rsidRPr="00351147" w:rsidRDefault="00751264" w:rsidP="00657A0C">
      <w:pPr>
        <w:pStyle w:val="Heading1"/>
        <w:rPr>
          <w:color w:val="002060"/>
        </w:rPr>
      </w:pPr>
      <w:proofErr w:type="spellStart"/>
      <w:r w:rsidRPr="00351147">
        <w:rPr>
          <w:color w:val="002060"/>
        </w:rPr>
        <w:t>Những</w:t>
      </w:r>
      <w:proofErr w:type="spellEnd"/>
      <w:r w:rsidRPr="00351147">
        <w:rPr>
          <w:color w:val="002060"/>
        </w:rPr>
        <w:t xml:space="preserve"> </w:t>
      </w:r>
      <w:proofErr w:type="spellStart"/>
      <w:r w:rsidRPr="00351147">
        <w:rPr>
          <w:color w:val="002060"/>
        </w:rPr>
        <w:t>biểu</w:t>
      </w:r>
      <w:proofErr w:type="spellEnd"/>
      <w:r w:rsidRPr="00351147">
        <w:rPr>
          <w:color w:val="002060"/>
        </w:rPr>
        <w:t xml:space="preserve"> </w:t>
      </w:r>
      <w:proofErr w:type="spellStart"/>
      <w:r w:rsidRPr="00351147">
        <w:rPr>
          <w:color w:val="002060"/>
        </w:rPr>
        <w:t>hiện</w:t>
      </w:r>
      <w:proofErr w:type="spellEnd"/>
      <w:r w:rsidRPr="00351147">
        <w:rPr>
          <w:color w:val="002060"/>
        </w:rPr>
        <w:t xml:space="preserve"> </w:t>
      </w:r>
      <w:proofErr w:type="spellStart"/>
      <w:r w:rsidRPr="00351147">
        <w:rPr>
          <w:color w:val="002060"/>
        </w:rPr>
        <w:t>của</w:t>
      </w:r>
      <w:proofErr w:type="spellEnd"/>
      <w:r w:rsidRPr="00351147">
        <w:rPr>
          <w:color w:val="002060"/>
        </w:rPr>
        <w:t xml:space="preserve"> </w:t>
      </w:r>
      <w:proofErr w:type="spellStart"/>
      <w:r w:rsidRPr="00351147">
        <w:rPr>
          <w:color w:val="002060"/>
        </w:rPr>
        <w:t>ăn</w:t>
      </w:r>
      <w:proofErr w:type="spellEnd"/>
      <w:r w:rsidRPr="00351147">
        <w:rPr>
          <w:color w:val="002060"/>
        </w:rPr>
        <w:t xml:space="preserve"> </w:t>
      </w:r>
      <w:proofErr w:type="spellStart"/>
      <w:r w:rsidRPr="00351147">
        <w:rPr>
          <w:color w:val="002060"/>
        </w:rPr>
        <w:t>hiếp</w:t>
      </w:r>
      <w:proofErr w:type="spellEnd"/>
    </w:p>
    <w:p w14:paraId="3393DDC7" w14:textId="77777777" w:rsidR="00351147" w:rsidRDefault="00351147" w:rsidP="00657A0C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</w:p>
    <w:p w14:paraId="35A88D9B" w14:textId="752550A6" w:rsidR="00657A0C" w:rsidRPr="00351147" w:rsidRDefault="00657A0C" w:rsidP="00657A0C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Mỗi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sinh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từng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bị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ăn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hiếp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ăn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hiếp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người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khác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sẽ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phản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ứng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hành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động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khác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nhau</w:t>
      </w:r>
      <w:proofErr w:type="spellEnd"/>
      <w:r w:rsidRPr="00351147">
        <w:rPr>
          <w:color w:val="002060"/>
          <w:szCs w:val="22"/>
          <w:lang w:val="en"/>
        </w:rPr>
        <w:t xml:space="preserve">. </w:t>
      </w:r>
      <w:proofErr w:type="spellStart"/>
      <w:r w:rsidRPr="00351147">
        <w:rPr>
          <w:color w:val="002060"/>
          <w:szCs w:val="22"/>
          <w:lang w:val="en"/>
        </w:rPr>
        <w:t>Hành</w:t>
      </w:r>
      <w:proofErr w:type="spellEnd"/>
      <w:r w:rsidRPr="00351147">
        <w:rPr>
          <w:color w:val="002060"/>
          <w:szCs w:val="22"/>
          <w:lang w:val="en"/>
        </w:rPr>
        <w:t xml:space="preserve"> vi </w:t>
      </w:r>
      <w:proofErr w:type="spellStart"/>
      <w:r w:rsidRPr="00351147">
        <w:rPr>
          <w:color w:val="002060"/>
          <w:szCs w:val="22"/>
          <w:lang w:val="en"/>
        </w:rPr>
        <w:t>và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tâm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trạng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của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mỗi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sinh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cũng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có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thể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thay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đổi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vì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nhiều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lý</w:t>
      </w:r>
      <w:proofErr w:type="spellEnd"/>
      <w:r w:rsidRPr="00351147">
        <w:rPr>
          <w:color w:val="002060"/>
          <w:szCs w:val="22"/>
          <w:lang w:val="en"/>
        </w:rPr>
        <w:t xml:space="preserve"> do </w:t>
      </w:r>
      <w:proofErr w:type="spellStart"/>
      <w:r w:rsidRPr="00351147">
        <w:rPr>
          <w:color w:val="002060"/>
          <w:szCs w:val="22"/>
          <w:lang w:val="en"/>
        </w:rPr>
        <w:t>khác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nhau</w:t>
      </w:r>
      <w:proofErr w:type="spellEnd"/>
      <w:r w:rsidRPr="00351147">
        <w:rPr>
          <w:color w:val="002060"/>
          <w:szCs w:val="22"/>
          <w:lang w:val="en"/>
        </w:rPr>
        <w:t xml:space="preserve">. </w:t>
      </w:r>
      <w:proofErr w:type="spellStart"/>
      <w:r w:rsidRPr="00351147">
        <w:rPr>
          <w:color w:val="002060"/>
          <w:szCs w:val="22"/>
          <w:lang w:val="en"/>
        </w:rPr>
        <w:t>Tuy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nhiên</w:t>
      </w:r>
      <w:proofErr w:type="spellEnd"/>
      <w:r w:rsidRPr="00351147">
        <w:rPr>
          <w:color w:val="002060"/>
          <w:szCs w:val="22"/>
          <w:lang w:val="en"/>
        </w:rPr>
        <w:t xml:space="preserve">, </w:t>
      </w:r>
      <w:proofErr w:type="spellStart"/>
      <w:r w:rsidRPr="00351147">
        <w:rPr>
          <w:color w:val="002060"/>
          <w:szCs w:val="22"/>
          <w:lang w:val="en"/>
        </w:rPr>
        <w:t>một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số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biểu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hiệu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dưới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đây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có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thể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cho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thấy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một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sinh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đang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trải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nghiệm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việc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ăn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hiếp</w:t>
      </w:r>
      <w:proofErr w:type="spellEnd"/>
      <w:r w:rsidRPr="00351147">
        <w:rPr>
          <w:color w:val="002060"/>
          <w:szCs w:val="22"/>
          <w:lang w:val="en"/>
        </w:rPr>
        <w:t>:</w:t>
      </w:r>
    </w:p>
    <w:p w14:paraId="1E4D4BD7" w14:textId="77777777" w:rsidR="00657A0C" w:rsidRPr="00351147" w:rsidRDefault="00657A0C" w:rsidP="00657A0C">
      <w:pPr>
        <w:pStyle w:val="BodyText"/>
        <w:rPr>
          <w:rFonts w:eastAsia="MS Mincho"/>
          <w:color w:val="002060"/>
          <w:lang w:val="en" w:eastAsia="en-US"/>
        </w:rPr>
      </w:pPr>
      <w:proofErr w:type="spellStart"/>
      <w:r w:rsidRPr="00351147">
        <w:rPr>
          <w:rFonts w:eastAsia="MS Mincho"/>
          <w:color w:val="002060"/>
          <w:lang w:val="en" w:eastAsia="en-US"/>
        </w:rPr>
        <w:t>Những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biểu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hiệu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giáo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viên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có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thể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nhận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thấy</w:t>
      </w:r>
      <w:proofErr w:type="spellEnd"/>
      <w:r w:rsidRPr="00351147">
        <w:rPr>
          <w:rFonts w:eastAsia="MS Mincho"/>
          <w:color w:val="002060"/>
          <w:lang w:val="en" w:eastAsia="en-US"/>
        </w:rPr>
        <w:t>:</w:t>
      </w:r>
    </w:p>
    <w:p w14:paraId="16632EB5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trở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nên</w:t>
      </w:r>
      <w:proofErr w:type="spellEnd"/>
      <w:r w:rsidRPr="00351147">
        <w:rPr>
          <w:color w:val="002060"/>
          <w:szCs w:val="22"/>
          <w:lang w:val="en"/>
        </w:rPr>
        <w:t xml:space="preserve"> hung </w:t>
      </w:r>
      <w:proofErr w:type="spellStart"/>
      <w:r w:rsidRPr="00351147">
        <w:rPr>
          <w:color w:val="002060"/>
          <w:szCs w:val="22"/>
          <w:lang w:val="en"/>
        </w:rPr>
        <w:t>hăng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hợp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lý</w:t>
      </w:r>
      <w:proofErr w:type="spellEnd"/>
    </w:p>
    <w:p w14:paraId="760380AF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bắt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đầu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tham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gia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vào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các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cuộc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ẩu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đả</w:t>
      </w:r>
      <w:proofErr w:type="spellEnd"/>
    </w:p>
    <w:p w14:paraId="7F6CBCD8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từ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chối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nói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chuyện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về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những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điều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đúng</w:t>
      </w:r>
      <w:proofErr w:type="spellEnd"/>
    </w:p>
    <w:p w14:paraId="0995B3AB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kết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quả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tập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bắt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đầu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kém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đi</w:t>
      </w:r>
      <w:proofErr w:type="spellEnd"/>
      <w:r w:rsidRPr="00351147">
        <w:rPr>
          <w:color w:val="002060"/>
          <w:szCs w:val="22"/>
          <w:lang w:val="en"/>
        </w:rPr>
        <w:t>.</w:t>
      </w:r>
      <w:r w:rsidRPr="00351147">
        <w:rPr>
          <w:color w:val="002060"/>
          <w:szCs w:val="22"/>
          <w:lang w:val="en"/>
        </w:rPr>
        <w:br/>
      </w:r>
    </w:p>
    <w:p w14:paraId="4F1A4AB6" w14:textId="77777777" w:rsidR="00657A0C" w:rsidRPr="00351147" w:rsidRDefault="00657A0C" w:rsidP="00657A0C">
      <w:pPr>
        <w:pStyle w:val="BodyText"/>
        <w:rPr>
          <w:rFonts w:eastAsia="MS Mincho"/>
          <w:color w:val="002060"/>
          <w:lang w:val="en" w:eastAsia="en-US"/>
        </w:rPr>
      </w:pPr>
      <w:proofErr w:type="spellStart"/>
      <w:r w:rsidRPr="00351147">
        <w:rPr>
          <w:rFonts w:eastAsia="MS Mincho"/>
          <w:color w:val="002060"/>
          <w:lang w:val="en" w:eastAsia="en-US"/>
        </w:rPr>
        <w:t>Đôi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khi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việc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ăn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hiếp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có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thể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không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rõ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ràng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. </w:t>
      </w:r>
      <w:proofErr w:type="spellStart"/>
      <w:r w:rsidRPr="00351147">
        <w:rPr>
          <w:rFonts w:eastAsia="MS Mincho"/>
          <w:color w:val="002060"/>
          <w:lang w:val="en" w:eastAsia="en-US"/>
        </w:rPr>
        <w:t>Những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biểu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hiện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có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thể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bao </w:t>
      </w:r>
      <w:proofErr w:type="spellStart"/>
      <w:r w:rsidRPr="00351147">
        <w:rPr>
          <w:rFonts w:eastAsia="MS Mincho"/>
          <w:color w:val="002060"/>
          <w:lang w:val="en" w:eastAsia="en-US"/>
        </w:rPr>
        <w:t>gồm</w:t>
      </w:r>
      <w:proofErr w:type="spellEnd"/>
      <w:r w:rsidRPr="00351147">
        <w:rPr>
          <w:rFonts w:eastAsia="MS Mincho"/>
          <w:color w:val="002060"/>
          <w:lang w:val="en" w:eastAsia="en-US"/>
        </w:rPr>
        <w:t>:</w:t>
      </w:r>
    </w:p>
    <w:p w14:paraId="3EB10CAC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sinh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thường</w:t>
      </w:r>
      <w:proofErr w:type="spellEnd"/>
      <w:r w:rsidRPr="00351147">
        <w:rPr>
          <w:color w:val="002060"/>
          <w:szCs w:val="22"/>
          <w:lang w:val="en"/>
        </w:rPr>
        <w:t xml:space="preserve"> ở </w:t>
      </w:r>
      <w:proofErr w:type="spellStart"/>
      <w:r w:rsidRPr="00351147">
        <w:rPr>
          <w:color w:val="002060"/>
          <w:szCs w:val="22"/>
          <w:lang w:val="en"/>
        </w:rPr>
        <w:t>một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mình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tách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biệt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khỏi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nhóm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bạn</w:t>
      </w:r>
      <w:proofErr w:type="spellEnd"/>
      <w:r w:rsidRPr="00351147">
        <w:rPr>
          <w:color w:val="002060"/>
          <w:szCs w:val="22"/>
          <w:lang w:val="en"/>
        </w:rPr>
        <w:t xml:space="preserve"> ở </w:t>
      </w:r>
      <w:proofErr w:type="spellStart"/>
      <w:r w:rsidRPr="00351147">
        <w:rPr>
          <w:color w:val="002060"/>
          <w:szCs w:val="22"/>
          <w:lang w:val="en"/>
        </w:rPr>
        <w:t>trường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</w:p>
    <w:p w14:paraId="293FF32F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sinh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xuyên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mục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tiêu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của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những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trò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đùa</w:t>
      </w:r>
      <w:proofErr w:type="spellEnd"/>
      <w:r w:rsidRPr="00351147">
        <w:rPr>
          <w:color w:val="002060"/>
          <w:szCs w:val="22"/>
          <w:lang w:val="en"/>
        </w:rPr>
        <w:t xml:space="preserve">, </w:t>
      </w:r>
      <w:proofErr w:type="spellStart"/>
      <w:r w:rsidRPr="00351147">
        <w:rPr>
          <w:color w:val="002060"/>
          <w:szCs w:val="22"/>
          <w:lang w:val="en"/>
        </w:rPr>
        <w:t>bắt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chước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gây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cười</w:t>
      </w:r>
      <w:proofErr w:type="spellEnd"/>
      <w:r w:rsidRPr="00351147">
        <w:rPr>
          <w:color w:val="002060"/>
          <w:szCs w:val="22"/>
          <w:lang w:val="en"/>
        </w:rPr>
        <w:t xml:space="preserve"> ở </w:t>
      </w:r>
      <w:proofErr w:type="spellStart"/>
      <w:r w:rsidRPr="00351147">
        <w:rPr>
          <w:color w:val="002060"/>
          <w:szCs w:val="22"/>
          <w:lang w:val="en"/>
        </w:rPr>
        <w:t>trường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</w:p>
    <w:p w14:paraId="15611D9B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00" w:lineRule="exact"/>
        <w:ind w:left="450" w:right="78" w:hanging="450"/>
        <w:rPr>
          <w:color w:val="002060"/>
        </w:rPr>
      </w:pP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sinh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thay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đổi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về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năng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lực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tập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cũng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như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sự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mong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muốn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phát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biểu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trong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lớp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tỏ</w:t>
      </w:r>
      <w:proofErr w:type="spellEnd"/>
      <w:r w:rsidRPr="00351147">
        <w:rPr>
          <w:color w:val="002060"/>
          <w:szCs w:val="22"/>
          <w:lang w:val="en"/>
        </w:rPr>
        <w:t xml:space="preserve"> ra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an </w:t>
      </w:r>
      <w:proofErr w:type="spellStart"/>
      <w:r w:rsidRPr="00351147">
        <w:rPr>
          <w:color w:val="002060"/>
          <w:szCs w:val="22"/>
          <w:lang w:val="en"/>
        </w:rPr>
        <w:t>toàn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sợ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hãi</w:t>
      </w:r>
      <w:proofErr w:type="spellEnd"/>
      <w:r w:rsidRPr="00351147">
        <w:rPr>
          <w:color w:val="002060"/>
          <w:szCs w:val="22"/>
          <w:lang w:val="en"/>
        </w:rPr>
        <w:t>.</w:t>
      </w:r>
      <w:r w:rsidRPr="00351147">
        <w:rPr>
          <w:color w:val="002060"/>
          <w:szCs w:val="22"/>
          <w:lang w:val="en"/>
        </w:rPr>
        <w:br/>
      </w:r>
    </w:p>
    <w:p w14:paraId="49B97A61" w14:textId="77777777" w:rsidR="00657A0C" w:rsidRPr="00351147" w:rsidRDefault="00657A0C" w:rsidP="00657A0C">
      <w:pPr>
        <w:pStyle w:val="BodyText"/>
        <w:rPr>
          <w:rFonts w:eastAsia="MS Mincho"/>
          <w:color w:val="002060"/>
          <w:lang w:val="en" w:eastAsia="en-US"/>
        </w:rPr>
      </w:pPr>
      <w:proofErr w:type="spellStart"/>
      <w:r w:rsidRPr="00351147">
        <w:rPr>
          <w:rFonts w:eastAsia="MS Mincho"/>
          <w:color w:val="002060"/>
          <w:lang w:val="en" w:eastAsia="en-US"/>
        </w:rPr>
        <w:t>Những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biểu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hiệu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cha/</w:t>
      </w:r>
      <w:proofErr w:type="spellStart"/>
      <w:r w:rsidRPr="00351147">
        <w:rPr>
          <w:rFonts w:eastAsia="MS Mincho"/>
          <w:color w:val="002060"/>
          <w:lang w:val="en" w:eastAsia="en-US"/>
        </w:rPr>
        <w:t>mẹ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có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thể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thông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báo</w:t>
      </w:r>
      <w:proofErr w:type="spellEnd"/>
      <w:r w:rsidRPr="00351147">
        <w:rPr>
          <w:rFonts w:eastAsia="MS Mincho"/>
          <w:color w:val="002060"/>
          <w:lang w:val="en" w:eastAsia="en-US"/>
        </w:rPr>
        <w:t>:</w:t>
      </w:r>
    </w:p>
    <w:p w14:paraId="6B98C87B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muốn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</w:p>
    <w:p w14:paraId="5F501071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thay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đổi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phương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thức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tuyến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đến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sợ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bộ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đến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trường</w:t>
      </w:r>
      <w:proofErr w:type="spellEnd"/>
    </w:p>
    <w:p w14:paraId="1D939F56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thay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đổi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thói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quen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ngủ</w:t>
      </w:r>
      <w:proofErr w:type="spellEnd"/>
    </w:p>
    <w:p w14:paraId="43546961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thay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đổi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thói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quen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ăn</w:t>
      </w:r>
      <w:proofErr w:type="spellEnd"/>
    </w:p>
    <w:p w14:paraId="185B7E7D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r w:rsidRPr="00351147">
        <w:rPr>
          <w:color w:val="002060"/>
          <w:szCs w:val="22"/>
          <w:lang w:val="en"/>
        </w:rPr>
        <w:t xml:space="preserve">hay </w:t>
      </w:r>
      <w:proofErr w:type="spellStart"/>
      <w:r w:rsidRPr="00351147">
        <w:rPr>
          <w:color w:val="002060"/>
          <w:szCs w:val="22"/>
          <w:lang w:val="en"/>
        </w:rPr>
        <w:t>khóc</w:t>
      </w:r>
      <w:proofErr w:type="spellEnd"/>
      <w:r w:rsidRPr="00351147">
        <w:rPr>
          <w:color w:val="002060"/>
          <w:szCs w:val="22"/>
          <w:lang w:val="en"/>
        </w:rPr>
        <w:t xml:space="preserve">, </w:t>
      </w:r>
      <w:proofErr w:type="spellStart"/>
      <w:r w:rsidRPr="00351147">
        <w:rPr>
          <w:color w:val="002060"/>
          <w:szCs w:val="22"/>
          <w:lang w:val="en"/>
        </w:rPr>
        <w:t>giận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dữ</w:t>
      </w:r>
      <w:proofErr w:type="spellEnd"/>
      <w:r w:rsidRPr="00351147">
        <w:rPr>
          <w:color w:val="002060"/>
          <w:szCs w:val="22"/>
          <w:lang w:val="en"/>
        </w:rPr>
        <w:t xml:space="preserve">, </w:t>
      </w:r>
      <w:proofErr w:type="spellStart"/>
      <w:r w:rsidRPr="00351147">
        <w:rPr>
          <w:color w:val="002060"/>
          <w:szCs w:val="22"/>
          <w:lang w:val="en"/>
        </w:rPr>
        <w:t>thay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đổi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tâm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trạng</w:t>
      </w:r>
      <w:proofErr w:type="spellEnd"/>
    </w:p>
    <w:p w14:paraId="0910497F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có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những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vết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bầm</w:t>
      </w:r>
      <w:proofErr w:type="spellEnd"/>
      <w:r w:rsidRPr="00351147">
        <w:rPr>
          <w:color w:val="002060"/>
          <w:szCs w:val="22"/>
          <w:lang w:val="en"/>
        </w:rPr>
        <w:t xml:space="preserve">, </w:t>
      </w:r>
      <w:proofErr w:type="spellStart"/>
      <w:r w:rsidRPr="00351147">
        <w:rPr>
          <w:color w:val="002060"/>
          <w:szCs w:val="22"/>
          <w:lang w:val="en"/>
        </w:rPr>
        <w:t>vết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cắt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vết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xước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giải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thích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được</w:t>
      </w:r>
      <w:proofErr w:type="spellEnd"/>
    </w:p>
    <w:p w14:paraId="50E03692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đồ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dùng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quần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áo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bị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thất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lạc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hư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hỏng</w:t>
      </w:r>
      <w:proofErr w:type="spellEnd"/>
    </w:p>
    <w:p w14:paraId="449A6A09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về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bị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đói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bụng</w:t>
      </w:r>
      <w:proofErr w:type="spellEnd"/>
      <w:r w:rsidRPr="00351147">
        <w:rPr>
          <w:color w:val="002060"/>
          <w:szCs w:val="22"/>
          <w:lang w:val="en"/>
        </w:rPr>
        <w:t>.</w:t>
      </w:r>
      <w:r w:rsidRPr="00351147">
        <w:rPr>
          <w:color w:val="002060"/>
          <w:szCs w:val="22"/>
          <w:lang w:val="en"/>
        </w:rPr>
        <w:br/>
      </w:r>
    </w:p>
    <w:p w14:paraId="72E2C3CB" w14:textId="77777777" w:rsidR="00657A0C" w:rsidRPr="00351147" w:rsidRDefault="00657A0C" w:rsidP="00657A0C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lang w:val="en"/>
        </w:rPr>
      </w:pPr>
      <w:proofErr w:type="spellStart"/>
      <w:r w:rsidRPr="00351147">
        <w:rPr>
          <w:color w:val="002060"/>
          <w:lang w:val="en"/>
        </w:rPr>
        <w:t>Những</w:t>
      </w:r>
      <w:proofErr w:type="spellEnd"/>
      <w:r w:rsidRPr="00351147">
        <w:rPr>
          <w:color w:val="002060"/>
          <w:lang w:val="en"/>
        </w:rPr>
        <w:t xml:space="preserve"> </w:t>
      </w:r>
      <w:proofErr w:type="spellStart"/>
      <w:r w:rsidRPr="00351147">
        <w:rPr>
          <w:color w:val="002060"/>
          <w:lang w:val="en"/>
        </w:rPr>
        <w:t>học</w:t>
      </w:r>
      <w:proofErr w:type="spellEnd"/>
      <w:r w:rsidRPr="00351147">
        <w:rPr>
          <w:color w:val="002060"/>
          <w:lang w:val="en"/>
        </w:rPr>
        <w:t xml:space="preserve"> </w:t>
      </w:r>
      <w:proofErr w:type="spellStart"/>
      <w:r w:rsidRPr="00351147">
        <w:rPr>
          <w:color w:val="002060"/>
          <w:lang w:val="en"/>
        </w:rPr>
        <w:t>sinh</w:t>
      </w:r>
      <w:proofErr w:type="spellEnd"/>
      <w:r w:rsidRPr="00351147">
        <w:rPr>
          <w:color w:val="002060"/>
          <w:lang w:val="en"/>
        </w:rPr>
        <w:t xml:space="preserve"> </w:t>
      </w:r>
      <w:proofErr w:type="spellStart"/>
      <w:r w:rsidRPr="00351147">
        <w:rPr>
          <w:color w:val="002060"/>
          <w:lang w:val="en"/>
        </w:rPr>
        <w:t>có</w:t>
      </w:r>
      <w:proofErr w:type="spellEnd"/>
      <w:r w:rsidRPr="00351147">
        <w:rPr>
          <w:color w:val="002060"/>
          <w:lang w:val="en"/>
        </w:rPr>
        <w:t xml:space="preserve"> xu </w:t>
      </w:r>
      <w:proofErr w:type="spellStart"/>
      <w:r w:rsidRPr="00351147">
        <w:rPr>
          <w:color w:val="002060"/>
          <w:lang w:val="en"/>
        </w:rPr>
        <w:t>hướng</w:t>
      </w:r>
      <w:proofErr w:type="spellEnd"/>
      <w:r w:rsidRPr="00351147">
        <w:rPr>
          <w:color w:val="002060"/>
          <w:lang w:val="en"/>
        </w:rPr>
        <w:t xml:space="preserve"> </w:t>
      </w:r>
      <w:proofErr w:type="spellStart"/>
      <w:r w:rsidRPr="00351147">
        <w:rPr>
          <w:color w:val="002060"/>
          <w:lang w:val="en"/>
        </w:rPr>
        <w:t>bị</w:t>
      </w:r>
      <w:proofErr w:type="spellEnd"/>
      <w:r w:rsidRPr="00351147">
        <w:rPr>
          <w:color w:val="002060"/>
          <w:lang w:val="en"/>
        </w:rPr>
        <w:t xml:space="preserve"> </w:t>
      </w:r>
      <w:proofErr w:type="spellStart"/>
      <w:r w:rsidRPr="00351147">
        <w:rPr>
          <w:color w:val="002060"/>
          <w:lang w:val="en"/>
        </w:rPr>
        <w:t>ăn</w:t>
      </w:r>
      <w:proofErr w:type="spellEnd"/>
      <w:r w:rsidRPr="00351147">
        <w:rPr>
          <w:color w:val="002060"/>
          <w:lang w:val="en"/>
        </w:rPr>
        <w:t xml:space="preserve"> </w:t>
      </w:r>
      <w:proofErr w:type="spellStart"/>
      <w:r w:rsidRPr="00351147">
        <w:rPr>
          <w:color w:val="002060"/>
          <w:lang w:val="en"/>
        </w:rPr>
        <w:t>hiếp</w:t>
      </w:r>
      <w:proofErr w:type="spellEnd"/>
      <w:r w:rsidRPr="00351147">
        <w:rPr>
          <w:color w:val="002060"/>
          <w:lang w:val="en"/>
        </w:rPr>
        <w:t xml:space="preserve"> </w:t>
      </w:r>
      <w:proofErr w:type="spellStart"/>
      <w:r w:rsidRPr="00351147">
        <w:rPr>
          <w:color w:val="002060"/>
          <w:lang w:val="en"/>
        </w:rPr>
        <w:t>thường</w:t>
      </w:r>
      <w:proofErr w:type="spellEnd"/>
      <w:r w:rsidRPr="00351147">
        <w:rPr>
          <w:color w:val="002060"/>
          <w:lang w:val="en"/>
        </w:rPr>
        <w:t xml:space="preserve"> </w:t>
      </w:r>
      <w:proofErr w:type="spellStart"/>
      <w:r w:rsidRPr="00351147">
        <w:rPr>
          <w:color w:val="002060"/>
          <w:lang w:val="en"/>
        </w:rPr>
        <w:t>có</w:t>
      </w:r>
      <w:proofErr w:type="spellEnd"/>
      <w:r w:rsidRPr="00351147">
        <w:rPr>
          <w:color w:val="002060"/>
          <w:lang w:val="en"/>
        </w:rPr>
        <w:t xml:space="preserve"> xu </w:t>
      </w:r>
      <w:proofErr w:type="spellStart"/>
      <w:r w:rsidRPr="00351147">
        <w:rPr>
          <w:color w:val="002060"/>
          <w:lang w:val="en"/>
        </w:rPr>
        <w:t>hướng</w:t>
      </w:r>
      <w:proofErr w:type="spellEnd"/>
      <w:r w:rsidRPr="00351147">
        <w:rPr>
          <w:color w:val="002060"/>
          <w:lang w:val="en"/>
        </w:rPr>
        <w:t>:</w:t>
      </w:r>
    </w:p>
    <w:p w14:paraId="007E2B80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cảm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thấy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gắn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kết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với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thích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</w:p>
    <w:p w14:paraId="03577E95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thiếu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những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tình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bạn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tốt</w:t>
      </w:r>
      <w:proofErr w:type="spellEnd"/>
      <w:r w:rsidRPr="00351147">
        <w:rPr>
          <w:color w:val="002060"/>
          <w:szCs w:val="22"/>
          <w:lang w:val="en"/>
        </w:rPr>
        <w:t xml:space="preserve"> ở </w:t>
      </w:r>
      <w:proofErr w:type="spellStart"/>
      <w:r w:rsidRPr="00351147">
        <w:rPr>
          <w:color w:val="002060"/>
          <w:szCs w:val="22"/>
          <w:lang w:val="en"/>
        </w:rPr>
        <w:t>trường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</w:p>
    <w:p w14:paraId="4E9FCCA2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thể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hiện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mức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độ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cảm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xúc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cao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cho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thấy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sự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mong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manh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mức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độ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chịu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đựng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thấp</w:t>
      </w:r>
      <w:proofErr w:type="spellEnd"/>
    </w:p>
    <w:p w14:paraId="637A3228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ít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được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chấp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nhận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bởi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bạn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bè</w:t>
      </w:r>
      <w:proofErr w:type="spellEnd"/>
      <w:r w:rsidRPr="00351147">
        <w:rPr>
          <w:color w:val="002060"/>
          <w:szCs w:val="22"/>
          <w:lang w:val="en"/>
        </w:rPr>
        <w:t xml:space="preserve">, </w:t>
      </w:r>
      <w:proofErr w:type="spellStart"/>
      <w:r w:rsidRPr="00351147">
        <w:rPr>
          <w:color w:val="002060"/>
          <w:szCs w:val="22"/>
          <w:lang w:val="en"/>
        </w:rPr>
        <w:t>tránh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xung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đột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giao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tiếp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xã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hội</w:t>
      </w:r>
      <w:proofErr w:type="spellEnd"/>
    </w:p>
    <w:p w14:paraId="61E3182C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lastRenderedPageBreak/>
        <w:t>có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sự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tự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trọng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thấp</w:t>
      </w:r>
      <w:proofErr w:type="spellEnd"/>
    </w:p>
    <w:p w14:paraId="6023428C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khá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tự</w:t>
      </w:r>
      <w:proofErr w:type="spellEnd"/>
      <w:r w:rsidRPr="00351147">
        <w:rPr>
          <w:color w:val="002060"/>
          <w:szCs w:val="22"/>
          <w:lang w:val="en"/>
        </w:rPr>
        <w:t xml:space="preserve"> tin</w:t>
      </w:r>
    </w:p>
    <w:p w14:paraId="43BCEAA6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khác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người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theo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một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cách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nào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đó</w:t>
      </w:r>
      <w:proofErr w:type="spellEnd"/>
      <w:r w:rsidRPr="00351147">
        <w:rPr>
          <w:color w:val="002060"/>
          <w:szCs w:val="22"/>
          <w:lang w:val="en"/>
        </w:rPr>
        <w:t>.</w:t>
      </w:r>
    </w:p>
    <w:p w14:paraId="4182AA76" w14:textId="77777777" w:rsidR="00657A0C" w:rsidRPr="00351147" w:rsidRDefault="00657A0C" w:rsidP="00657A0C">
      <w:pPr>
        <w:spacing w:before="12" w:line="200" w:lineRule="exact"/>
        <w:rPr>
          <w:color w:val="002060"/>
        </w:rPr>
      </w:pPr>
    </w:p>
    <w:p w14:paraId="4CD247A2" w14:textId="77777777" w:rsidR="00657A0C" w:rsidRPr="00351147" w:rsidRDefault="00657A0C" w:rsidP="00657A0C">
      <w:pPr>
        <w:pStyle w:val="BodyText"/>
        <w:rPr>
          <w:rFonts w:eastAsia="MS Mincho"/>
          <w:color w:val="002060"/>
          <w:lang w:val="en" w:eastAsia="en-US"/>
        </w:rPr>
      </w:pPr>
      <w:proofErr w:type="spellStart"/>
      <w:r w:rsidRPr="00351147">
        <w:rPr>
          <w:rFonts w:eastAsia="MS Mincho"/>
          <w:color w:val="002060"/>
          <w:lang w:val="en" w:eastAsia="en-US"/>
        </w:rPr>
        <w:t>Một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học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sinh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ăn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hiếp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người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khác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có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thể</w:t>
      </w:r>
      <w:proofErr w:type="spellEnd"/>
      <w:r w:rsidRPr="00351147">
        <w:rPr>
          <w:rFonts w:eastAsia="MS Mincho"/>
          <w:color w:val="002060"/>
          <w:lang w:val="en" w:eastAsia="en-US"/>
        </w:rPr>
        <w:t>:</w:t>
      </w:r>
    </w:p>
    <w:p w14:paraId="3A12F8BB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liên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tục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trêu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ghẹo</w:t>
      </w:r>
      <w:proofErr w:type="spellEnd"/>
      <w:r w:rsidRPr="00351147">
        <w:rPr>
          <w:color w:val="002060"/>
          <w:szCs w:val="22"/>
          <w:lang w:val="en"/>
        </w:rPr>
        <w:t xml:space="preserve">, </w:t>
      </w:r>
      <w:proofErr w:type="spellStart"/>
      <w:r w:rsidRPr="00351147">
        <w:rPr>
          <w:color w:val="002060"/>
          <w:szCs w:val="22"/>
          <w:lang w:val="en"/>
        </w:rPr>
        <w:t>bắt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chước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trêu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đùa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với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cùng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một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đối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tượng</w:t>
      </w:r>
      <w:proofErr w:type="spellEnd"/>
    </w:p>
    <w:p w14:paraId="04DCE079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cảm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thấy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có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cầu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cần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khống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chế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kiểm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soát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người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khác</w:t>
      </w:r>
      <w:proofErr w:type="spellEnd"/>
    </w:p>
    <w:p w14:paraId="289C40D3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thể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hiện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cảm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với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những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người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đang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bị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ăn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hiếp</w:t>
      </w:r>
      <w:proofErr w:type="spellEnd"/>
    </w:p>
    <w:p w14:paraId="0D6FA158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liên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tục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gạt</w:t>
      </w:r>
      <w:proofErr w:type="spellEnd"/>
      <w:r w:rsidRPr="00351147">
        <w:rPr>
          <w:color w:val="002060"/>
          <w:szCs w:val="22"/>
          <w:lang w:val="en"/>
        </w:rPr>
        <w:t xml:space="preserve"> ra </w:t>
      </w:r>
      <w:proofErr w:type="spellStart"/>
      <w:r w:rsidRPr="00351147">
        <w:rPr>
          <w:color w:val="002060"/>
          <w:szCs w:val="22"/>
          <w:lang w:val="en"/>
        </w:rPr>
        <w:t>hoặc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phớt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lờ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cùng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một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đối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tượng</w:t>
      </w:r>
      <w:proofErr w:type="spellEnd"/>
    </w:p>
    <w:p w14:paraId="0E8D5369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00" w:lineRule="exact"/>
        <w:ind w:left="450" w:right="78" w:hanging="450"/>
        <w:rPr>
          <w:color w:val="002060"/>
        </w:rPr>
      </w:pPr>
      <w:proofErr w:type="spellStart"/>
      <w:r w:rsidRPr="00351147">
        <w:rPr>
          <w:color w:val="002060"/>
          <w:szCs w:val="22"/>
          <w:lang w:val="en"/>
        </w:rPr>
        <w:t>thường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xuyên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thì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thầm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sau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lưng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</w:t>
      </w:r>
      <w:proofErr w:type="spellEnd"/>
      <w:r w:rsidRPr="00351147">
        <w:rPr>
          <w:color w:val="002060"/>
          <w:szCs w:val="22"/>
          <w:lang w:val="en"/>
        </w:rPr>
        <w:t>.</w:t>
      </w:r>
    </w:p>
    <w:p w14:paraId="5EC59D96" w14:textId="77777777" w:rsidR="00657A0C" w:rsidRPr="00351147" w:rsidRDefault="00657A0C" w:rsidP="00657A0C">
      <w:pPr>
        <w:spacing w:before="11" w:line="200" w:lineRule="exact"/>
        <w:rPr>
          <w:color w:val="002060"/>
        </w:rPr>
      </w:pPr>
    </w:p>
    <w:p w14:paraId="5E3B7768" w14:textId="77777777" w:rsidR="00657A0C" w:rsidRPr="00351147" w:rsidRDefault="00657A0C" w:rsidP="00657A0C">
      <w:pPr>
        <w:pStyle w:val="BodyText"/>
        <w:rPr>
          <w:rFonts w:eastAsia="MS Mincho"/>
          <w:color w:val="002060"/>
          <w:lang w:val="en" w:eastAsia="en-US"/>
        </w:rPr>
      </w:pPr>
      <w:proofErr w:type="spellStart"/>
      <w:r w:rsidRPr="00351147">
        <w:rPr>
          <w:rFonts w:eastAsia="MS Mincho"/>
          <w:color w:val="002060"/>
          <w:lang w:val="en" w:eastAsia="en-US"/>
        </w:rPr>
        <w:t>Học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sinh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thường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xuyên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ăn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hiếp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người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khác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</w:t>
      </w:r>
      <w:proofErr w:type="spellStart"/>
      <w:r w:rsidRPr="00351147">
        <w:rPr>
          <w:rFonts w:eastAsia="MS Mincho"/>
          <w:color w:val="002060"/>
          <w:lang w:val="en" w:eastAsia="en-US"/>
        </w:rPr>
        <w:t>có</w:t>
      </w:r>
      <w:proofErr w:type="spellEnd"/>
      <w:r w:rsidRPr="00351147">
        <w:rPr>
          <w:rFonts w:eastAsia="MS Mincho"/>
          <w:color w:val="002060"/>
          <w:lang w:val="en" w:eastAsia="en-US"/>
        </w:rPr>
        <w:t xml:space="preserve"> xu </w:t>
      </w:r>
      <w:proofErr w:type="spellStart"/>
      <w:r w:rsidRPr="00351147">
        <w:rPr>
          <w:rFonts w:eastAsia="MS Mincho"/>
          <w:color w:val="002060"/>
          <w:lang w:val="en" w:eastAsia="en-US"/>
        </w:rPr>
        <w:t>hướng</w:t>
      </w:r>
      <w:proofErr w:type="spellEnd"/>
      <w:r w:rsidRPr="00351147">
        <w:rPr>
          <w:rFonts w:eastAsia="MS Mincho"/>
          <w:color w:val="002060"/>
          <w:lang w:val="en" w:eastAsia="en-US"/>
        </w:rPr>
        <w:t>:</w:t>
      </w:r>
    </w:p>
    <w:p w14:paraId="2A60AA8C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cảm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thấy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gắn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kết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với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không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thích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trường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học</w:t>
      </w:r>
      <w:proofErr w:type="spellEnd"/>
    </w:p>
    <w:p w14:paraId="597B8790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thể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hiện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những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kỹ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năng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lãnh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đạo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tốt</w:t>
      </w:r>
      <w:proofErr w:type="spellEnd"/>
    </w:p>
    <w:p w14:paraId="730C7CD2" w14:textId="77777777" w:rsidR="00657A0C" w:rsidRPr="00351147" w:rsidRDefault="00657A0C" w:rsidP="00657A0C">
      <w:pPr>
        <w:numPr>
          <w:ilvl w:val="0"/>
          <w:numId w:val="12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351147">
        <w:rPr>
          <w:color w:val="002060"/>
          <w:szCs w:val="22"/>
          <w:lang w:val="en"/>
        </w:rPr>
        <w:t>thể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hiện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kỹ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năng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nói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tốt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và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khả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năng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dùng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lời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nói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để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thoát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khỏi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những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vướng</w:t>
      </w:r>
      <w:proofErr w:type="spellEnd"/>
      <w:r w:rsidRPr="00351147">
        <w:rPr>
          <w:color w:val="002060"/>
          <w:szCs w:val="22"/>
          <w:lang w:val="en"/>
        </w:rPr>
        <w:t xml:space="preserve"> </w:t>
      </w:r>
      <w:proofErr w:type="spellStart"/>
      <w:r w:rsidRPr="00351147">
        <w:rPr>
          <w:color w:val="002060"/>
          <w:szCs w:val="22"/>
          <w:lang w:val="en"/>
        </w:rPr>
        <w:t>mắc</w:t>
      </w:r>
      <w:proofErr w:type="spellEnd"/>
      <w:r w:rsidRPr="00351147">
        <w:rPr>
          <w:color w:val="002060"/>
          <w:szCs w:val="22"/>
          <w:lang w:val="en"/>
        </w:rPr>
        <w:t>.</w:t>
      </w:r>
    </w:p>
    <w:p w14:paraId="411D7881" w14:textId="77777777" w:rsidR="00657A0C" w:rsidRPr="00351147" w:rsidRDefault="00657A0C" w:rsidP="00657A0C">
      <w:pPr>
        <w:spacing w:line="200" w:lineRule="exact"/>
        <w:rPr>
          <w:color w:val="002060"/>
        </w:rPr>
      </w:pPr>
    </w:p>
    <w:p w14:paraId="22A4BC37" w14:textId="77777777" w:rsidR="00657A0C" w:rsidRPr="00351147" w:rsidRDefault="00657A0C" w:rsidP="00657A0C">
      <w:pPr>
        <w:spacing w:line="200" w:lineRule="exact"/>
        <w:rPr>
          <w:color w:val="002060"/>
        </w:rPr>
      </w:pPr>
    </w:p>
    <w:p w14:paraId="24D54B2C" w14:textId="77777777" w:rsidR="00657A0C" w:rsidRPr="00351147" w:rsidRDefault="00657A0C" w:rsidP="00657A0C">
      <w:pPr>
        <w:spacing w:line="200" w:lineRule="exact"/>
        <w:rPr>
          <w:color w:val="002060"/>
        </w:rPr>
      </w:pPr>
    </w:p>
    <w:p w14:paraId="25B18B83" w14:textId="77777777" w:rsidR="00657A0C" w:rsidRPr="00351147" w:rsidRDefault="00657A0C" w:rsidP="00657A0C">
      <w:pPr>
        <w:spacing w:line="200" w:lineRule="exact"/>
        <w:rPr>
          <w:color w:val="002060"/>
        </w:rPr>
      </w:pPr>
    </w:p>
    <w:p w14:paraId="2741E0BB" w14:textId="77777777" w:rsidR="00657A0C" w:rsidRPr="00351147" w:rsidRDefault="00657A0C" w:rsidP="00657A0C">
      <w:pPr>
        <w:spacing w:line="200" w:lineRule="exact"/>
        <w:rPr>
          <w:color w:val="002060"/>
        </w:rPr>
      </w:pPr>
    </w:p>
    <w:p w14:paraId="25572BFE" w14:textId="77777777" w:rsidR="00657A0C" w:rsidRPr="00351147" w:rsidRDefault="00657A0C" w:rsidP="00657A0C">
      <w:pPr>
        <w:kinsoku w:val="0"/>
        <w:overflowPunct w:val="0"/>
        <w:spacing w:line="240" w:lineRule="auto"/>
        <w:ind w:right="-64"/>
        <w:jc w:val="both"/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</w:pPr>
    </w:p>
    <w:p w14:paraId="57C9D426" w14:textId="77777777" w:rsidR="00351147" w:rsidRDefault="00351147" w:rsidP="00657A0C">
      <w:pPr>
        <w:kinsoku w:val="0"/>
        <w:overflowPunct w:val="0"/>
        <w:spacing w:line="240" w:lineRule="auto"/>
        <w:ind w:right="-64"/>
        <w:rPr>
          <w:rFonts w:ascii="Verdana" w:hAnsi="Verdana" w:cs="Verdana"/>
          <w:iCs/>
          <w:color w:val="002060"/>
          <w:spacing w:val="-1"/>
          <w:sz w:val="18"/>
          <w:szCs w:val="18"/>
        </w:rPr>
      </w:pPr>
    </w:p>
    <w:p w14:paraId="1C3F82BF" w14:textId="4AAFDD4E" w:rsidR="00657A0C" w:rsidRPr="00351147" w:rsidRDefault="00657A0C" w:rsidP="00657A0C">
      <w:pPr>
        <w:kinsoku w:val="0"/>
        <w:overflowPunct w:val="0"/>
        <w:spacing w:line="240" w:lineRule="auto"/>
        <w:ind w:right="-64"/>
        <w:rPr>
          <w:rFonts w:ascii="Verdana" w:hAnsi="Verdana" w:cs="Verdana"/>
          <w:iCs/>
          <w:color w:val="002060"/>
          <w:spacing w:val="-1"/>
          <w:sz w:val="18"/>
          <w:szCs w:val="18"/>
        </w:rPr>
      </w:pP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Thông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tin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này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được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tập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hợp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từ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nhiều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nguồn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khác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nhau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, bao </w:t>
      </w: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gồm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: </w:t>
      </w:r>
    </w:p>
    <w:p w14:paraId="4B879A33" w14:textId="39C0419B" w:rsidR="00657A0C" w:rsidRPr="00351147" w:rsidRDefault="00657A0C" w:rsidP="00657A0C">
      <w:pPr>
        <w:kinsoku w:val="0"/>
        <w:overflowPunct w:val="0"/>
        <w:spacing w:line="240" w:lineRule="auto"/>
        <w:ind w:right="-64"/>
        <w:rPr>
          <w:rFonts w:ascii="Verdana" w:hAnsi="Verdana" w:cs="Verdana"/>
          <w:iCs/>
          <w:color w:val="002060"/>
          <w:spacing w:val="-1"/>
          <w:sz w:val="18"/>
          <w:szCs w:val="18"/>
        </w:rPr>
      </w:pPr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The Australian Psychological Society Tip Sheets </w:t>
      </w:r>
      <w:r w:rsid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hyperlink r:id="rId12" w:anchor="s9   " w:history="1">
        <w:r w:rsidR="00351147" w:rsidRPr="009D1324">
          <w:rPr>
            <w:rStyle w:val="Hyperlink"/>
            <w:rFonts w:ascii="Verdana" w:eastAsiaTheme="majorEastAsia" w:hAnsi="Verdana" w:cs="Verdana"/>
            <w:iCs/>
            <w:spacing w:val="-1"/>
            <w:sz w:val="18"/>
            <w:szCs w:val="18"/>
          </w:rPr>
          <w:t xml:space="preserve">http://www.psychology.org.au/publications/tip_sheets/bullying/#s9   </w:t>
        </w:r>
      </w:hyperlink>
    </w:p>
    <w:p w14:paraId="2C3374F0" w14:textId="77777777" w:rsidR="00657A0C" w:rsidRPr="00351147" w:rsidRDefault="00657A0C" w:rsidP="00657A0C">
      <w:pPr>
        <w:kinsoku w:val="0"/>
        <w:overflowPunct w:val="0"/>
        <w:spacing w:line="240" w:lineRule="auto"/>
        <w:ind w:right="-64"/>
        <w:rPr>
          <w:rFonts w:ascii="Verdana" w:hAnsi="Verdana" w:cs="Verdana"/>
          <w:iCs/>
          <w:color w:val="002060"/>
          <w:spacing w:val="-1"/>
          <w:sz w:val="18"/>
          <w:szCs w:val="18"/>
        </w:rPr>
      </w:pPr>
      <w:proofErr w:type="spellStart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>và</w:t>
      </w:r>
      <w:proofErr w:type="spellEnd"/>
      <w:r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Working Together: A Toolkit for parents to Address Bullying </w:t>
      </w:r>
    </w:p>
    <w:p w14:paraId="4D19EFEE" w14:textId="79529981" w:rsidR="00657A0C" w:rsidRPr="00351147" w:rsidRDefault="00D56C23" w:rsidP="00657A0C">
      <w:pPr>
        <w:kinsoku w:val="0"/>
        <w:overflowPunct w:val="0"/>
        <w:spacing w:line="240" w:lineRule="auto"/>
        <w:ind w:right="-64"/>
        <w:rPr>
          <w:rFonts w:ascii="Verdana" w:hAnsi="Verdana" w:cs="Verdana"/>
          <w:iCs/>
          <w:color w:val="002060"/>
          <w:spacing w:val="-1"/>
          <w:sz w:val="18"/>
          <w:szCs w:val="18"/>
        </w:rPr>
      </w:pPr>
      <w:hyperlink r:id="rId13" w:history="1">
        <w:r w:rsidR="00657A0C" w:rsidRPr="00351147">
          <w:rPr>
            <w:rStyle w:val="Hyperlink"/>
            <w:rFonts w:ascii="Verdana" w:eastAsiaTheme="majorEastAsia" w:hAnsi="Verdana" w:cs="Verdana"/>
            <w:iCs/>
            <w:spacing w:val="-1"/>
            <w:sz w:val="18"/>
            <w:szCs w:val="18"/>
          </w:rPr>
          <w:t>http://behaviour.education.qld.gov.au/bullying-and-violence/schools/Pages/qsaav.aspx#toolkit</w:t>
        </w:r>
      </w:hyperlink>
      <w:r w:rsid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r w:rsidR="00657A0C" w:rsidRPr="00351147">
        <w:rPr>
          <w:rFonts w:ascii="Verdana" w:hAnsi="Verdana" w:cs="Verdana"/>
          <w:iCs/>
          <w:color w:val="002060"/>
          <w:spacing w:val="-1"/>
          <w:sz w:val="18"/>
          <w:szCs w:val="18"/>
        </w:rPr>
        <w:t xml:space="preserve"> </w:t>
      </w:r>
      <w:hyperlink r:id="rId14"/>
    </w:p>
    <w:p w14:paraId="77166802" w14:textId="77777777" w:rsidR="00657A0C" w:rsidRPr="00351147" w:rsidRDefault="00657A0C" w:rsidP="00657A0C">
      <w:pPr>
        <w:kinsoku w:val="0"/>
        <w:overflowPunct w:val="0"/>
        <w:spacing w:line="240" w:lineRule="auto"/>
        <w:ind w:right="-64"/>
        <w:rPr>
          <w:rFonts w:ascii="Verdana" w:hAnsi="Verdana" w:cs="Verdana"/>
          <w:iCs/>
          <w:color w:val="002060"/>
          <w:spacing w:val="-1"/>
          <w:sz w:val="18"/>
          <w:szCs w:val="18"/>
        </w:rPr>
      </w:pPr>
    </w:p>
    <w:p w14:paraId="17073749" w14:textId="77777777" w:rsidR="000D4318" w:rsidRPr="00351147" w:rsidRDefault="000D4318" w:rsidP="00657A0C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rFonts w:cstheme="minorHAnsi"/>
          <w:color w:val="002060"/>
        </w:rPr>
      </w:pPr>
    </w:p>
    <w:sectPr w:rsidR="000D4318" w:rsidRPr="00351147" w:rsidSect="001D39EA">
      <w:headerReference w:type="default" r:id="rId15"/>
      <w:footerReference w:type="default" r:id="rId16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0069" w14:textId="77777777" w:rsidR="00D56C23" w:rsidRDefault="00D56C23" w:rsidP="002B7185">
      <w:r>
        <w:pict w14:anchorId="1DBB341C">
          <v:rect id="_x0000_i1027" style="width:0;height:1.5pt" o:hralign="center" o:hrstd="t" o:hr="t" fillcolor="#a0a0a0" stroked="f"/>
        </w:pict>
      </w:r>
    </w:p>
    <w:p w14:paraId="61267B88" w14:textId="77777777" w:rsidR="00D56C23" w:rsidRDefault="00D56C23" w:rsidP="002B7185"/>
  </w:endnote>
  <w:endnote w:type="continuationSeparator" w:id="0">
    <w:p w14:paraId="5DC75854" w14:textId="77777777" w:rsidR="00D56C23" w:rsidRDefault="00D56C23" w:rsidP="002B7185">
      <w:r>
        <w:pict w14:anchorId="31CAD7F6">
          <v:rect id="_x0000_i1028" style="width:0;height:1.5pt" o:hralign="center" o:hrstd="t" o:hr="t" fillcolor="#a0a0a0" stroked="f"/>
        </w:pict>
      </w:r>
    </w:p>
    <w:p w14:paraId="439471F2" w14:textId="77777777" w:rsidR="00D56C23" w:rsidRDefault="00D56C23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2B07" w14:textId="77777777" w:rsidR="00D56C23" w:rsidRPr="00026DC2" w:rsidRDefault="00D56C23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62E8624F" w14:textId="77777777" w:rsidR="00D56C23" w:rsidRDefault="00D56C23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75CE8D5E" w14:textId="77777777" w:rsidR="00D56C23" w:rsidRDefault="00D56C23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6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8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9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6"/>
  </w:num>
  <w:num w:numId="5">
    <w:abstractNumId w:val="16"/>
  </w:num>
  <w:num w:numId="6">
    <w:abstractNumId w:val="0"/>
  </w:num>
  <w:num w:numId="7">
    <w:abstractNumId w:val="18"/>
  </w:num>
  <w:num w:numId="8">
    <w:abstractNumId w:val="11"/>
  </w:num>
  <w:num w:numId="9">
    <w:abstractNumId w:val="3"/>
  </w:num>
  <w:num w:numId="10">
    <w:abstractNumId w:val="27"/>
  </w:num>
  <w:num w:numId="11">
    <w:abstractNumId w:val="17"/>
  </w:num>
  <w:num w:numId="12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6B9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55F5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3FA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147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57A0C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264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43E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3F46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515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E784A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6C23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EE4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2117A14E-D6A3-45EB-86F4-9E380F9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1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ehaviour.education.qld.gov.au/bullying-and-violence/schools/Pages/qsaav.aspx%23toolk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sychology.org.au/publications/tip_sheets/bully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qld.gov.au/studentservices/behaviour/qsaav/docs/toolkit-parent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A48105034C84EAB14E5912D7A8FD7" ma:contentTypeVersion="0" ma:contentTypeDescription="Create a new document." ma:contentTypeScope="" ma:versionID="eb5e3038a4a876305fa5a7ef3db04e70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2023-08-03T06:34:53+00:00</PPModeratedDate>
    <PPLastReviewedDate xmlns="b70dd679-76a0-4ce0-858d-24cdf2777c25">2023-08-03T06:34:53+00:00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4D20A-DEB2-497D-89C6-F5494AB856D7}"/>
</file>

<file path=customXml/itemProps4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biểu hiện của ăn hiếp – Fact sheet: Signs of bullying</dc:title>
  <dc:subject>Những biểu hiện của ăn hiếp</dc:subject>
  <dc:creator>Australian Education Authorities / The State of Queensland</dc:creator>
  <cp:keywords/>
  <dc:description/>
  <cp:revision>5</cp:revision>
  <cp:lastPrinted>2023-05-17T13:54:00Z</cp:lastPrinted>
  <dcterms:created xsi:type="dcterms:W3CDTF">2023-07-06T00:50:00Z</dcterms:created>
  <dcterms:modified xsi:type="dcterms:W3CDTF">2023-07-06T01:41:00Z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0x01010006CA48105034C84EAB14E5912D7A8FD7</vt:lpwstr>
  </property>
  <property fmtid="{D5CDD505-2E9C-101B-9397-08002B2CF9AE}" pid="3" name="MediaServiceImageTags">
    <vt:lpwstr/>
  </property>
</Properties>
</file>