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8285" w14:textId="0250C80F" w:rsidR="002703FA" w:rsidRPr="006F7982" w:rsidRDefault="006F7982" w:rsidP="002703FA">
      <w:pPr>
        <w:pStyle w:val="Documenttitle"/>
        <w:rPr>
          <w:rFonts w:asciiTheme="majorHAnsi" w:hAnsiTheme="majorHAnsi" w:cstheme="majorHAnsi"/>
          <w:color w:val="002060"/>
          <w:sz w:val="70"/>
          <w:szCs w:val="70"/>
        </w:rPr>
      </w:pPr>
      <w:proofErr w:type="spellStart"/>
      <w:r w:rsidRPr="006F7982">
        <w:rPr>
          <w:rFonts w:asciiTheme="majorHAnsi" w:hAnsiTheme="majorHAnsi" w:cstheme="majorHAnsi"/>
          <w:color w:val="002060"/>
          <w:sz w:val="70"/>
          <w:szCs w:val="70"/>
        </w:rPr>
        <w:t>Những</w:t>
      </w:r>
      <w:proofErr w:type="spellEnd"/>
      <w:r w:rsidRPr="006F7982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6F7982">
        <w:rPr>
          <w:rFonts w:asciiTheme="majorHAnsi" w:hAnsiTheme="majorHAnsi" w:cstheme="majorHAnsi"/>
          <w:color w:val="002060"/>
          <w:sz w:val="70"/>
          <w:szCs w:val="70"/>
        </w:rPr>
        <w:t>hình</w:t>
      </w:r>
      <w:proofErr w:type="spellEnd"/>
      <w:r w:rsidRPr="006F7982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6F7982">
        <w:rPr>
          <w:rFonts w:asciiTheme="majorHAnsi" w:hAnsiTheme="majorHAnsi" w:cstheme="majorHAnsi"/>
          <w:color w:val="002060"/>
          <w:sz w:val="70"/>
          <w:szCs w:val="70"/>
        </w:rPr>
        <w:t>thức</w:t>
      </w:r>
      <w:proofErr w:type="spellEnd"/>
      <w:r w:rsidRPr="006F7982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6F7982">
        <w:rPr>
          <w:rFonts w:asciiTheme="majorHAnsi" w:hAnsiTheme="majorHAnsi" w:cstheme="majorHAnsi"/>
          <w:color w:val="002060"/>
          <w:sz w:val="70"/>
          <w:szCs w:val="70"/>
        </w:rPr>
        <w:t>ăn</w:t>
      </w:r>
      <w:proofErr w:type="spellEnd"/>
      <w:r w:rsidRPr="006F7982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6F7982">
        <w:rPr>
          <w:rFonts w:asciiTheme="majorHAnsi" w:hAnsiTheme="majorHAnsi" w:cstheme="majorHAnsi"/>
          <w:color w:val="002060"/>
          <w:sz w:val="70"/>
          <w:szCs w:val="70"/>
        </w:rPr>
        <w:t>hiếp</w:t>
      </w:r>
      <w:proofErr w:type="spellEnd"/>
    </w:p>
    <w:p w14:paraId="53B9D0D9" w14:textId="77777777" w:rsidR="006F7982" w:rsidRPr="006F7982" w:rsidRDefault="006F7982" w:rsidP="006F7982">
      <w:pPr>
        <w:tabs>
          <w:tab w:val="left" w:pos="426"/>
        </w:tabs>
        <w:spacing w:before="240" w:line="240" w:lineRule="auto"/>
        <w:ind w:right="-202"/>
        <w:rPr>
          <w:color w:val="002060"/>
          <w:szCs w:val="22"/>
        </w:rPr>
      </w:pP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thường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được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mô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theo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loại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hành</w:t>
      </w:r>
      <w:proofErr w:type="spellEnd"/>
      <w:r w:rsidRPr="006F7982">
        <w:rPr>
          <w:color w:val="002060"/>
        </w:rPr>
        <w:t xml:space="preserve"> vi </w:t>
      </w:r>
      <w:proofErr w:type="spellStart"/>
      <w:r w:rsidRPr="006F7982">
        <w:rPr>
          <w:color w:val="002060"/>
        </w:rPr>
        <w:t>đi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kèm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vì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vậy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chúng</w:t>
      </w:r>
      <w:proofErr w:type="spellEnd"/>
      <w:r w:rsidRPr="006F7982">
        <w:rPr>
          <w:color w:val="002060"/>
        </w:rPr>
        <w:t xml:space="preserve"> ta </w:t>
      </w:r>
      <w:proofErr w:type="spellStart"/>
      <w:r w:rsidRPr="006F7982">
        <w:rPr>
          <w:color w:val="002060"/>
        </w:rPr>
        <w:t>nói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về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bằng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nói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xã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hội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chất</w:t>
      </w:r>
      <w:proofErr w:type="spellEnd"/>
      <w:r w:rsidRPr="006F7982">
        <w:rPr>
          <w:color w:val="002060"/>
        </w:rPr>
        <w:t>.</w:t>
      </w:r>
    </w:p>
    <w:p w14:paraId="1A8E06CD" w14:textId="77777777" w:rsidR="006F7982" w:rsidRPr="006F7982" w:rsidRDefault="006F7982" w:rsidP="006F7982">
      <w:pPr>
        <w:tabs>
          <w:tab w:val="left" w:pos="426"/>
        </w:tabs>
        <w:spacing w:before="240" w:line="240" w:lineRule="auto"/>
        <w:ind w:right="-202"/>
        <w:rPr>
          <w:color w:val="002060"/>
        </w:rPr>
      </w:pPr>
      <w:proofErr w:type="spellStart"/>
      <w:r w:rsidRPr="006F7982">
        <w:rPr>
          <w:color w:val="002060"/>
        </w:rPr>
        <w:t>Đôi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cũng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được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với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xảy</w:t>
      </w:r>
      <w:proofErr w:type="spellEnd"/>
      <w:r w:rsidRPr="006F7982">
        <w:rPr>
          <w:color w:val="002060"/>
        </w:rPr>
        <w:t xml:space="preserve"> ra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loại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gây</w:t>
      </w:r>
      <w:proofErr w:type="spellEnd"/>
      <w:r w:rsidRPr="006F7982">
        <w:rPr>
          <w:color w:val="002060"/>
        </w:rPr>
        <w:t xml:space="preserve"> ra. 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từ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này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được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sử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dụng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riêng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kết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hợp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với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từ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>. 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gây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nhầm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lẫn</w:t>
      </w:r>
      <w:proofErr w:type="spellEnd"/>
      <w:r w:rsidRPr="006F7982">
        <w:rPr>
          <w:color w:val="002060"/>
        </w:rPr>
        <w:t>! </w:t>
      </w:r>
      <w:proofErr w:type="spellStart"/>
      <w:r w:rsidRPr="006F7982">
        <w:rPr>
          <w:color w:val="002060"/>
        </w:rPr>
        <w:t>Dưới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đây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cách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mô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phổ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biến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nhất</w:t>
      </w:r>
      <w:proofErr w:type="spellEnd"/>
      <w:r w:rsidRPr="006F7982">
        <w:rPr>
          <w:color w:val="002060"/>
        </w:rPr>
        <w:t>.</w:t>
      </w:r>
    </w:p>
    <w:p w14:paraId="3DC7DBD5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t>Loại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hành</w:t>
      </w:r>
      <w:proofErr w:type="spellEnd"/>
      <w:r w:rsidRPr="006F7982">
        <w:rPr>
          <w:color w:val="002060"/>
        </w:rPr>
        <w:t xml:space="preserve"> vi - </w:t>
      </w:r>
      <w:proofErr w:type="spellStart"/>
      <w:r w:rsidRPr="006F7982">
        <w:rPr>
          <w:color w:val="002060"/>
        </w:rPr>
        <w:t>lời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nói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xã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hội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chất</w:t>
      </w:r>
      <w:proofErr w:type="spellEnd"/>
    </w:p>
    <w:p w14:paraId="4C53F4EF" w14:textId="77777777" w:rsidR="006F7982" w:rsidRPr="006F7982" w:rsidRDefault="006F7982" w:rsidP="006F7982">
      <w:pPr>
        <w:tabs>
          <w:tab w:val="left" w:pos="426"/>
        </w:tabs>
        <w:spacing w:after="240" w:line="240" w:lineRule="auto"/>
        <w:ind w:right="-202"/>
        <w:rPr>
          <w:color w:val="002060"/>
          <w:szCs w:val="22"/>
        </w:rPr>
      </w:pP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ba</w:t>
      </w:r>
      <w:proofErr w:type="spellEnd"/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loại</w:t>
      </w:r>
      <w:proofErr w:type="spellEnd"/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hành</w:t>
      </w:r>
      <w:proofErr w:type="spellEnd"/>
      <w:r w:rsidRPr="006F7982">
        <w:rPr>
          <w:color w:val="002060"/>
        </w:rPr>
        <w:t xml:space="preserve"> vi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>:</w:t>
      </w:r>
    </w:p>
    <w:p w14:paraId="4BE85961" w14:textId="77777777" w:rsidR="006F7982" w:rsidRPr="006F7982" w:rsidRDefault="006F7982" w:rsidP="006F7982">
      <w:pPr>
        <w:numPr>
          <w:ilvl w:val="0"/>
          <w:numId w:val="12"/>
        </w:numPr>
        <w:tabs>
          <w:tab w:val="left" w:pos="426"/>
        </w:tabs>
        <w:spacing w:before="200" w:after="100" w:afterAutospacing="1" w:line="240" w:lineRule="auto"/>
        <w:ind w:right="-202"/>
        <w:rPr>
          <w:color w:val="002060"/>
          <w:szCs w:val="22"/>
        </w:rPr>
      </w:pPr>
      <w:proofErr w:type="spellStart"/>
      <w:r w:rsidRPr="006F7982">
        <w:rPr>
          <w:b/>
          <w:bCs/>
          <w:color w:val="002060"/>
        </w:rPr>
        <w:t>Ăn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hiếp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bằng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lời</w:t>
      </w:r>
      <w:proofErr w:type="spellEnd"/>
      <w:r w:rsidRPr="006F7982">
        <w:rPr>
          <w:rFonts w:ascii="Times New Roman" w:hAnsi="Times New Roman"/>
          <w:color w:val="002060"/>
        </w:rPr>
        <w:t> </w:t>
      </w:r>
      <w:proofErr w:type="spellStart"/>
      <w:r w:rsidRPr="006F7982">
        <w:rPr>
          <w:b/>
          <w:bCs/>
          <w:color w:val="002060"/>
        </w:rPr>
        <w:t>nói</w:t>
      </w:r>
      <w:proofErr w:type="spellEnd"/>
      <w:r w:rsidRPr="006F7982">
        <w:rPr>
          <w:b/>
          <w:bCs/>
          <w:color w:val="002060"/>
        </w:rPr>
        <w:t xml:space="preserve"> </w:t>
      </w:r>
      <w:r w:rsidRPr="006F7982">
        <w:rPr>
          <w:color w:val="002060"/>
        </w:rPr>
        <w:t xml:space="preserve">bao </w:t>
      </w:r>
      <w:proofErr w:type="spellStart"/>
      <w:r w:rsidRPr="006F7982">
        <w:rPr>
          <w:color w:val="002060"/>
        </w:rPr>
        <w:t>gồm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việc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chửi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rủa</w:t>
      </w:r>
      <w:proofErr w:type="spellEnd"/>
      <w:r w:rsidRPr="006F7982">
        <w:rPr>
          <w:color w:val="002060"/>
        </w:rPr>
        <w:t xml:space="preserve"> hay </w:t>
      </w:r>
      <w:proofErr w:type="spellStart"/>
      <w:r w:rsidRPr="006F7982">
        <w:rPr>
          <w:color w:val="002060"/>
        </w:rPr>
        <w:t>xúc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phạm</w:t>
      </w:r>
      <w:proofErr w:type="spellEnd"/>
      <w:r w:rsidRPr="006F7982">
        <w:rPr>
          <w:color w:val="002060"/>
        </w:rPr>
        <w:t xml:space="preserve"> ai </w:t>
      </w:r>
      <w:proofErr w:type="spellStart"/>
      <w:r w:rsidRPr="006F7982">
        <w:rPr>
          <w:color w:val="002060"/>
        </w:rPr>
        <w:t>đó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về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điểm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chất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như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trọng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lượng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chiều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cao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của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họ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các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thuộc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tính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 xml:space="preserve"> bao </w:t>
      </w:r>
      <w:proofErr w:type="spellStart"/>
      <w:r w:rsidRPr="006F7982">
        <w:rPr>
          <w:color w:val="002060"/>
        </w:rPr>
        <w:t>gồm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chủng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tộc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giới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tính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văn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hóa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tôn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giáo</w:t>
      </w:r>
      <w:proofErr w:type="spellEnd"/>
    </w:p>
    <w:p w14:paraId="2BB9AEF0" w14:textId="77777777" w:rsidR="006F7982" w:rsidRPr="006F7982" w:rsidRDefault="006F7982" w:rsidP="006F7982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002060"/>
          <w:szCs w:val="22"/>
        </w:rPr>
      </w:pPr>
      <w:proofErr w:type="spellStart"/>
      <w:r w:rsidRPr="006F7982">
        <w:rPr>
          <w:b/>
          <w:bCs/>
          <w:color w:val="002060"/>
        </w:rPr>
        <w:t>Ăn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hiếp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thể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chất</w:t>
      </w:r>
      <w:proofErr w:type="spellEnd"/>
      <w:r w:rsidRPr="006F7982">
        <w:rPr>
          <w:rFonts w:ascii="Times New Roman" w:hAnsi="Times New Roman"/>
          <w:color w:val="002060"/>
        </w:rPr>
        <w:t> </w:t>
      </w:r>
      <w:r w:rsidRPr="006F7982">
        <w:rPr>
          <w:color w:val="002060"/>
        </w:rPr>
        <w:t xml:space="preserve">bao </w:t>
      </w:r>
      <w:proofErr w:type="spellStart"/>
      <w:r w:rsidRPr="006F7982">
        <w:rPr>
          <w:color w:val="002060"/>
        </w:rPr>
        <w:t>gồm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việc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đánh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thương</w:t>
      </w:r>
      <w:proofErr w:type="spellEnd"/>
      <w:r w:rsidRPr="006F7982">
        <w:rPr>
          <w:color w:val="002060"/>
        </w:rPr>
        <w:t xml:space="preserve"> ai </w:t>
      </w:r>
      <w:proofErr w:type="spellStart"/>
      <w:r w:rsidRPr="006F7982">
        <w:rPr>
          <w:color w:val="002060"/>
        </w:rPr>
        <w:t>đó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xô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đẩy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đe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dọa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hư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hại</w:t>
      </w:r>
      <w:proofErr w:type="spellEnd"/>
      <w:r w:rsidRPr="006F7982">
        <w:rPr>
          <w:color w:val="002060"/>
        </w:rPr>
        <w:t xml:space="preserve"> hay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cắp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đồ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đạc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của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họ</w:t>
      </w:r>
      <w:proofErr w:type="spellEnd"/>
    </w:p>
    <w:p w14:paraId="0D78F8B8" w14:textId="77777777" w:rsidR="006F7982" w:rsidRPr="006F7982" w:rsidRDefault="006F7982" w:rsidP="006F7982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002060"/>
          <w:szCs w:val="22"/>
        </w:rPr>
      </w:pPr>
      <w:proofErr w:type="spellStart"/>
      <w:r w:rsidRPr="006F7982">
        <w:rPr>
          <w:b/>
          <w:bCs/>
          <w:color w:val="002060"/>
        </w:rPr>
        <w:t>Ăn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hiếp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xã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hội</w:t>
      </w:r>
      <w:proofErr w:type="spellEnd"/>
      <w:r w:rsidRPr="006F7982">
        <w:rPr>
          <w:b/>
          <w:bCs/>
          <w:color w:val="002060"/>
        </w:rPr>
        <w:t xml:space="preserve"> </w:t>
      </w:r>
      <w:r w:rsidRPr="006F7982">
        <w:rPr>
          <w:color w:val="002060"/>
        </w:rPr>
        <w:t xml:space="preserve">bao </w:t>
      </w:r>
      <w:proofErr w:type="spellStart"/>
      <w:r w:rsidRPr="006F7982">
        <w:rPr>
          <w:color w:val="002060"/>
        </w:rPr>
        <w:t>gồm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việc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liên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tục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loại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 xml:space="preserve"> ra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chia </w:t>
      </w:r>
      <w:proofErr w:type="spellStart"/>
      <w:r w:rsidRPr="006F7982">
        <w:rPr>
          <w:color w:val="002060"/>
        </w:rPr>
        <w:t>sẻ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thông</w:t>
      </w:r>
      <w:proofErr w:type="spellEnd"/>
      <w:r w:rsidRPr="006F7982">
        <w:rPr>
          <w:color w:val="002060"/>
        </w:rPr>
        <w:t xml:space="preserve"> tin hay </w:t>
      </w:r>
      <w:proofErr w:type="spellStart"/>
      <w:r w:rsidRPr="006F7982">
        <w:rPr>
          <w:color w:val="002060"/>
        </w:rPr>
        <w:t>hình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ảnh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>.</w:t>
      </w:r>
    </w:p>
    <w:p w14:paraId="74EA61EA" w14:textId="77777777" w:rsidR="006F7982" w:rsidRPr="006F7982" w:rsidRDefault="006F7982" w:rsidP="006F7982">
      <w:pPr>
        <w:tabs>
          <w:tab w:val="left" w:pos="426"/>
        </w:tabs>
        <w:spacing w:before="200"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</w:rPr>
        <w:t>Nếu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bất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cứ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hành</w:t>
      </w:r>
      <w:proofErr w:type="spellEnd"/>
      <w:r w:rsidRPr="006F7982">
        <w:rPr>
          <w:color w:val="002060"/>
        </w:rPr>
        <w:t xml:space="preserve"> vi </w:t>
      </w:r>
      <w:proofErr w:type="spellStart"/>
      <w:r w:rsidRPr="006F7982">
        <w:rPr>
          <w:color w:val="002060"/>
        </w:rPr>
        <w:t>nào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đây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xảy</w:t>
      </w:r>
      <w:proofErr w:type="spellEnd"/>
      <w:r w:rsidRPr="006F7982">
        <w:rPr>
          <w:color w:val="002060"/>
        </w:rPr>
        <w:t xml:space="preserve"> ra </w:t>
      </w:r>
      <w:proofErr w:type="spellStart"/>
      <w:r w:rsidRPr="006F7982">
        <w:rPr>
          <w:color w:val="002060"/>
        </w:rPr>
        <w:t>chỉ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một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lần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nằm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trong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mâu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thuẫn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giữa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ngang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hàng</w:t>
      </w:r>
      <w:proofErr w:type="spellEnd"/>
      <w:r w:rsidRPr="006F7982">
        <w:rPr>
          <w:color w:val="002060"/>
        </w:rPr>
        <w:t xml:space="preserve"> (</w:t>
      </w:r>
      <w:proofErr w:type="spellStart"/>
      <w:r w:rsidRPr="006F7982">
        <w:rPr>
          <w:color w:val="002060"/>
        </w:rPr>
        <w:t>cho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dù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không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phù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hợp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như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thế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nào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nữa</w:t>
      </w:r>
      <w:proofErr w:type="spellEnd"/>
      <w:r w:rsidRPr="006F7982">
        <w:rPr>
          <w:color w:val="002060"/>
        </w:rPr>
        <w:t xml:space="preserve">) </w:t>
      </w:r>
      <w:proofErr w:type="spellStart"/>
      <w:r w:rsidRPr="006F7982">
        <w:rPr>
          <w:color w:val="002060"/>
        </w:rPr>
        <w:t>thì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vẫn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không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phải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>.</w:t>
      </w:r>
    </w:p>
    <w:p w14:paraId="5EBB3B40" w14:textId="77777777" w:rsidR="006F7982" w:rsidRPr="006F7982" w:rsidRDefault="006F7982" w:rsidP="006F7982">
      <w:pPr>
        <w:tabs>
          <w:tab w:val="left" w:pos="426"/>
        </w:tabs>
        <w:spacing w:before="200" w:after="200"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</w:t>
      </w:r>
      <w:r w:rsidRPr="006F7982">
        <w:rPr>
          <w:color w:val="002060"/>
        </w:rPr>
        <w:t>ằng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nói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chất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hội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xảy</w:t>
      </w:r>
      <w:proofErr w:type="spellEnd"/>
      <w:r w:rsidRPr="006F7982">
        <w:rPr>
          <w:color w:val="002060"/>
        </w:rPr>
        <w:t xml:space="preserve"> ra </w:t>
      </w:r>
      <w:proofErr w:type="spellStart"/>
      <w:r w:rsidRPr="006F7982">
        <w:rPr>
          <w:color w:val="002060"/>
        </w:rPr>
        <w:t>ngoài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trực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công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khai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che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giấu</w:t>
      </w:r>
      <w:proofErr w:type="spellEnd"/>
      <w:r w:rsidRPr="006F7982">
        <w:rPr>
          <w:color w:val="002060"/>
        </w:rPr>
        <w:t>.</w:t>
      </w:r>
    </w:p>
    <w:p w14:paraId="4FDD0028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t>Môi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trường</w:t>
      </w:r>
      <w:proofErr w:type="spellEnd"/>
      <w:r w:rsidRPr="006F7982">
        <w:rPr>
          <w:color w:val="002060"/>
        </w:rPr>
        <w:t xml:space="preserve"> – </w:t>
      </w:r>
      <w:proofErr w:type="spellStart"/>
      <w:r w:rsidRPr="006F7982">
        <w:rPr>
          <w:color w:val="002060"/>
        </w:rPr>
        <w:t>ngoài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</w:p>
    <w:p w14:paraId="6C5BECAC" w14:textId="77777777" w:rsidR="006F7982" w:rsidRPr="006F7982" w:rsidRDefault="006F7982" w:rsidP="006F7982">
      <w:pPr>
        <w:tabs>
          <w:tab w:val="left" w:pos="426"/>
        </w:tabs>
        <w:spacing w:before="200" w:after="200" w:line="240" w:lineRule="auto"/>
        <w:ind w:right="-205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ngoài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mạng</w:t>
      </w:r>
      <w:proofErr w:type="spellEnd"/>
      <w:r w:rsidRPr="006F7982">
        <w:rPr>
          <w:color w:val="002060"/>
          <w:szCs w:val="22"/>
        </w:rPr>
        <w:t>. </w:t>
      </w:r>
      <w:proofErr w:type="spellStart"/>
      <w:r w:rsidRPr="006F7982">
        <w:rPr>
          <w:color w:val="002060"/>
          <w:szCs w:val="22"/>
        </w:rPr>
        <w:t>Đôi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mạng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gọi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cyberbullying. 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ngoài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đời</w:t>
      </w:r>
      <w:proofErr w:type="spellEnd"/>
      <w:r w:rsidRPr="006F7982">
        <w:rPr>
          <w:color w:val="002060"/>
          <w:szCs w:val="22"/>
        </w:rPr>
        <w:t>. 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trên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mạng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cũng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như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dọa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>.</w:t>
      </w:r>
    </w:p>
    <w:p w14:paraId="1D938324" w14:textId="77777777" w:rsidR="006F7982" w:rsidRPr="006F7982" w:rsidRDefault="006F7982" w:rsidP="006F7982">
      <w:pPr>
        <w:tabs>
          <w:tab w:val="left" w:pos="426"/>
        </w:tabs>
        <w:spacing w:before="200" w:after="200" w:line="240" w:lineRule="auto"/>
        <w:ind w:right="-274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tính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riêng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biệt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của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môi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trường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tạo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thêm</w:t>
      </w:r>
      <w:proofErr w:type="spellEnd"/>
      <w:r w:rsidRPr="006F7982">
        <w:rPr>
          <w:color w:val="002060"/>
        </w:rPr>
        <w:t xml:space="preserve"> lo </w:t>
      </w:r>
      <w:proofErr w:type="spellStart"/>
      <w:r w:rsidRPr="006F7982">
        <w:rPr>
          <w:color w:val="002060"/>
        </w:rPr>
        <w:t>lắng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học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sinh</w:t>
      </w:r>
      <w:proofErr w:type="spellEnd"/>
      <w:r w:rsidRPr="006F7982">
        <w:rPr>
          <w:color w:val="002060"/>
        </w:rPr>
        <w:t xml:space="preserve">, cha </w:t>
      </w:r>
      <w:proofErr w:type="spellStart"/>
      <w:r w:rsidRPr="006F7982">
        <w:rPr>
          <w:color w:val="002060"/>
        </w:rPr>
        <w:t>mẹ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chăm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sóc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giáo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viên</w:t>
      </w:r>
      <w:proofErr w:type="spellEnd"/>
      <w:r w:rsidRPr="006F7982">
        <w:rPr>
          <w:color w:val="002060"/>
        </w:rPr>
        <w:t>.</w:t>
      </w:r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Ví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dụ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việc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ai </w:t>
      </w:r>
      <w:proofErr w:type="spellStart"/>
      <w:r w:rsidRPr="006F7982">
        <w:rPr>
          <w:color w:val="002060"/>
        </w:rPr>
        <w:t>đó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một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lượng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xem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rất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lớn</w:t>
      </w:r>
      <w:proofErr w:type="spellEnd"/>
      <w:r w:rsidRPr="006F7982">
        <w:rPr>
          <w:color w:val="002060"/>
        </w:rPr>
        <w:t>.</w:t>
      </w:r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Nghiên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cứu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thấy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trẻ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em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bị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thường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cũng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bị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ngoài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đời</w:t>
      </w:r>
      <w:proofErr w:type="spellEnd"/>
      <w:r w:rsidRPr="006F7982">
        <w:rPr>
          <w:color w:val="002060"/>
        </w:rPr>
        <w:t>.</w:t>
      </w:r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Điều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này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nghĩa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đối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phó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hiệu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quả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với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ăn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thì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cần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lưu</w:t>
      </w:r>
      <w:proofErr w:type="spellEnd"/>
      <w:r w:rsidRPr="006F7982">
        <w:rPr>
          <w:color w:val="002060"/>
        </w:rPr>
        <w:t xml:space="preserve"> ý </w:t>
      </w:r>
      <w:proofErr w:type="spellStart"/>
      <w:r w:rsidRPr="006F7982">
        <w:rPr>
          <w:color w:val="002060"/>
        </w:rPr>
        <w:t>đến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các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tình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huống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nữa</w:t>
      </w:r>
      <w:proofErr w:type="spellEnd"/>
      <w:r w:rsidRPr="006F7982">
        <w:rPr>
          <w:color w:val="002060"/>
        </w:rPr>
        <w:t>.</w:t>
      </w:r>
    </w:p>
    <w:p w14:paraId="3F1AAAE9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lastRenderedPageBreak/>
        <w:t>Hình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thức</w:t>
      </w:r>
      <w:proofErr w:type="spellEnd"/>
      <w:r w:rsidRPr="006F7982">
        <w:rPr>
          <w:color w:val="002060"/>
        </w:rPr>
        <w:t xml:space="preserve"> - </w:t>
      </w:r>
      <w:proofErr w:type="spellStart"/>
      <w:r w:rsidRPr="006F7982">
        <w:rPr>
          <w:color w:val="002060"/>
        </w:rPr>
        <w:t>trực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</w:p>
    <w:p w14:paraId="7D1B7446" w14:textId="77777777" w:rsidR="006F7982" w:rsidRPr="006F7982" w:rsidRDefault="006F7982" w:rsidP="006F7982">
      <w:pPr>
        <w:tabs>
          <w:tab w:val="left" w:pos="426"/>
        </w:tabs>
        <w:spacing w:after="200" w:line="240" w:lineRule="auto"/>
        <w:ind w:right="-202"/>
        <w:rPr>
          <w:color w:val="002060"/>
          <w:szCs w:val="22"/>
        </w:rPr>
      </w:pPr>
      <w:proofErr w:type="spellStart"/>
      <w:r w:rsidRPr="006F7982">
        <w:rPr>
          <w:b/>
          <w:bCs/>
          <w:color w:val="002060"/>
        </w:rPr>
        <w:t>Ăn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hiếp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trực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tiếp</w:t>
      </w:r>
      <w:proofErr w:type="spellEnd"/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proofErr w:type="spellStart"/>
      <w:r w:rsidRPr="006F7982">
        <w:rPr>
          <w:color w:val="002060"/>
        </w:rPr>
        <w:t>xảy</w:t>
      </w:r>
      <w:proofErr w:type="spellEnd"/>
      <w:r w:rsidRPr="006F7982">
        <w:rPr>
          <w:color w:val="002060"/>
        </w:rPr>
        <w:t xml:space="preserve"> ra </w:t>
      </w:r>
      <w:proofErr w:type="spellStart"/>
      <w:r w:rsidRPr="006F7982">
        <w:rPr>
          <w:color w:val="002060"/>
        </w:rPr>
        <w:t>giữa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liên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quan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còn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hành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động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thì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liên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quan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đến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những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ví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dụ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lăng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mạ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tiếp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theo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hoặc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truyền</w:t>
      </w:r>
      <w:proofErr w:type="spellEnd"/>
      <w:r w:rsidRPr="006F7982">
        <w:rPr>
          <w:color w:val="002060"/>
        </w:rPr>
        <w:t xml:space="preserve"> tin </w:t>
      </w:r>
      <w:proofErr w:type="spellStart"/>
      <w:r w:rsidRPr="006F7982">
        <w:rPr>
          <w:color w:val="002060"/>
        </w:rPr>
        <w:t>đồn</w:t>
      </w:r>
      <w:proofErr w:type="spellEnd"/>
      <w:r w:rsidRPr="006F7982">
        <w:rPr>
          <w:color w:val="002060"/>
        </w:rPr>
        <w:t>.</w:t>
      </w:r>
    </w:p>
    <w:p w14:paraId="21489426" w14:textId="77777777" w:rsidR="006F7982" w:rsidRPr="006F7982" w:rsidRDefault="006F7982" w:rsidP="006F7982">
      <w:pPr>
        <w:tabs>
          <w:tab w:val="left" w:pos="426"/>
        </w:tabs>
        <w:spacing w:before="200" w:after="200" w:line="240" w:lineRule="auto"/>
        <w:ind w:right="-202"/>
        <w:rPr>
          <w:color w:val="002060"/>
        </w:rPr>
      </w:pPr>
      <w:proofErr w:type="spellStart"/>
      <w:r w:rsidRPr="006F7982">
        <w:rPr>
          <w:b/>
          <w:bCs/>
          <w:color w:val="002060"/>
        </w:rPr>
        <w:t>Ăn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hiếp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r w:rsidRPr="006F7982">
        <w:rPr>
          <w:b/>
          <w:bCs/>
          <w:color w:val="002060"/>
        </w:rPr>
        <w:t>gián</w:t>
      </w:r>
      <w:proofErr w:type="spellEnd"/>
      <w:r w:rsidRPr="006F7982">
        <w:rPr>
          <w:b/>
          <w:bCs/>
          <w:color w:val="002060"/>
        </w:rPr>
        <w:t xml:space="preserve"> </w:t>
      </w:r>
      <w:proofErr w:type="spellStart"/>
      <w:proofErr w:type="gramStart"/>
      <w:r w:rsidRPr="006F7982">
        <w:rPr>
          <w:b/>
          <w:bCs/>
          <w:color w:val="002060"/>
        </w:rPr>
        <w:t>tiếp</w:t>
      </w:r>
      <w:proofErr w:type="spellEnd"/>
      <w:r w:rsidRPr="006F7982">
        <w:rPr>
          <w:rFonts w:ascii="Times New Roman" w:hAnsi="Times New Roman"/>
          <w:color w:val="002060"/>
          <w:sz w:val="27"/>
          <w:szCs w:val="27"/>
        </w:rPr>
        <w:t> </w:t>
      </w:r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gây</w:t>
      </w:r>
      <w:proofErr w:type="spellEnd"/>
      <w:proofErr w:type="gram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chủ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yếu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bằng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cách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uy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tín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hội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quan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hệ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bè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lòng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tự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trọng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của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</w:rPr>
        <w:t>.</w:t>
      </w:r>
    </w:p>
    <w:p w14:paraId="78682CE0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t>Tính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minh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bạch</w:t>
      </w:r>
      <w:proofErr w:type="spellEnd"/>
      <w:r w:rsidRPr="006F7982">
        <w:rPr>
          <w:color w:val="002060"/>
        </w:rPr>
        <w:t xml:space="preserve"> - </w:t>
      </w:r>
      <w:proofErr w:type="spellStart"/>
      <w:r w:rsidRPr="006F7982">
        <w:rPr>
          <w:color w:val="002060"/>
        </w:rPr>
        <w:t>công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khai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che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giấu</w:t>
      </w:r>
      <w:proofErr w:type="spellEnd"/>
    </w:p>
    <w:p w14:paraId="4F8E7A9F" w14:textId="77777777" w:rsidR="006F7982" w:rsidRPr="006F7982" w:rsidRDefault="006F7982" w:rsidP="006F7982">
      <w:pPr>
        <w:tabs>
          <w:tab w:val="left" w:pos="426"/>
        </w:tabs>
        <w:spacing w:after="200"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dễ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dàng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nhìn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thấy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gọi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khai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nhìn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thấy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bởi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những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quan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trực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tiếp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gọi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>.</w:t>
      </w:r>
    </w:p>
    <w:p w14:paraId="2802F94F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b/>
          <w:color w:val="002060"/>
          <w:szCs w:val="22"/>
        </w:rPr>
        <w:t>Ăn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hiếp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công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khai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quan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đến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hành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động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như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đấm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đá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hành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động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nhận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biết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như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chửi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rủa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xúc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phạm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khai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trực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thường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dùng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về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>. (</w:t>
      </w:r>
      <w:proofErr w:type="spellStart"/>
      <w:r w:rsidRPr="006F7982">
        <w:rPr>
          <w:color w:val="002060"/>
          <w:szCs w:val="22"/>
        </w:rPr>
        <w:t>Đôi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còn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gọi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‘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truyền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thống</w:t>
      </w:r>
      <w:proofErr w:type="spellEnd"/>
      <w:r w:rsidRPr="006F7982">
        <w:rPr>
          <w:color w:val="002060"/>
          <w:szCs w:val="22"/>
        </w:rPr>
        <w:t>').</w:t>
      </w:r>
    </w:p>
    <w:p w14:paraId="1523137C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Nhưng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khai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hình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thức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phổ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biến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nhất</w:t>
      </w:r>
      <w:proofErr w:type="spellEnd"/>
      <w:r w:rsidRPr="006F7982">
        <w:rPr>
          <w:color w:val="002060"/>
          <w:szCs w:val="22"/>
        </w:rPr>
        <w:t>.</w:t>
      </w:r>
    </w:p>
    <w:p w14:paraId="7DAF2FF8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b/>
          <w:color w:val="002060"/>
          <w:szCs w:val="22"/>
        </w:rPr>
        <w:t>Ăn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hiếp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che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gần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như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nhận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biết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bởi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những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ngoài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mối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quan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hệ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bao </w:t>
      </w:r>
      <w:proofErr w:type="spellStart"/>
      <w:r w:rsidRPr="006F7982">
        <w:rPr>
          <w:color w:val="002060"/>
          <w:szCs w:val="22"/>
        </w:rPr>
        <w:t>gồm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tục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sử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dụng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cử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chỉ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tay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nhìn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lạ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dọa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thầm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loại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quay </w:t>
      </w:r>
      <w:proofErr w:type="spellStart"/>
      <w:r w:rsidRPr="006F7982">
        <w:rPr>
          <w:color w:val="002060"/>
          <w:szCs w:val="22"/>
        </w:rPr>
        <w:t>lưng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một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hạn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chế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ngồi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họ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chuyện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ai.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tinh</w:t>
      </w:r>
      <w:proofErr w:type="spellEnd"/>
      <w:r w:rsidRPr="006F7982">
        <w:rPr>
          <w:color w:val="002060"/>
          <w:szCs w:val="22"/>
        </w:rPr>
        <w:t xml:space="preserve"> vi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thậm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chí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đôi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từ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chối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bởi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cho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rằng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họ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đang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đùa</w:t>
      </w:r>
      <w:proofErr w:type="spellEnd"/>
      <w:r w:rsidRPr="006F7982">
        <w:rPr>
          <w:color w:val="002060"/>
          <w:szCs w:val="22"/>
        </w:rPr>
        <w:t xml:space="preserve"> hay '</w:t>
      </w:r>
      <w:proofErr w:type="spellStart"/>
      <w:r w:rsidRPr="006F7982">
        <w:rPr>
          <w:color w:val="002060"/>
          <w:szCs w:val="22"/>
        </w:rPr>
        <w:t>chỉ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vui</w:t>
      </w:r>
      <w:proofErr w:type="spellEnd"/>
      <w:r w:rsidRPr="006F7982">
        <w:rPr>
          <w:color w:val="002060"/>
          <w:szCs w:val="22"/>
        </w:rPr>
        <w:t>'.</w:t>
      </w:r>
    </w:p>
    <w:p w14:paraId="44D03893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Một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số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mang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tính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che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giấu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và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gián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tiếp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thường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cố</w:t>
      </w:r>
      <w:proofErr w:type="spellEnd"/>
      <w:r w:rsidRPr="006F7982">
        <w:rPr>
          <w:color w:val="002060"/>
          <w:szCs w:val="22"/>
        </w:rPr>
        <w:t xml:space="preserve"> ý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đi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rất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nhận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biết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Loại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này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bao </w:t>
      </w:r>
      <w:proofErr w:type="spellStart"/>
      <w:r w:rsidRPr="006F7982">
        <w:rPr>
          <w:color w:val="002060"/>
          <w:szCs w:val="22"/>
        </w:rPr>
        <w:t>gồm</w:t>
      </w:r>
      <w:proofErr w:type="spellEnd"/>
      <w:r w:rsidRPr="006F7982">
        <w:rPr>
          <w:color w:val="002060"/>
          <w:szCs w:val="22"/>
        </w:rPr>
        <w:t xml:space="preserve"> loan tin </w:t>
      </w:r>
      <w:proofErr w:type="spellStart"/>
      <w:r w:rsidRPr="006F7982">
        <w:rPr>
          <w:color w:val="002060"/>
          <w:szCs w:val="22"/>
        </w:rPr>
        <w:t>đồn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đe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dọa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tống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tiền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lấy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bè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phá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vỡ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bí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mật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đàm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tiếu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chỉ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trích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về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trang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phục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tính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cách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</w:rPr>
        <w:t>gây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chủ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yếu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bằng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cách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uy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tín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xã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hội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quan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hệ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bạn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bè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lòng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tự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trọng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của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người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khác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nghĩa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thông</w:t>
      </w:r>
      <w:proofErr w:type="spellEnd"/>
      <w:r w:rsidRPr="006F7982">
        <w:rPr>
          <w:color w:val="002060"/>
          <w:szCs w:val="22"/>
        </w:rPr>
        <w:t xml:space="preserve"> qua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tâm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lý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chứ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>.</w:t>
      </w:r>
    </w:p>
    <w:p w14:paraId="0317466F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t>Tổn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thương</w:t>
      </w:r>
      <w:proofErr w:type="spellEnd"/>
      <w:r w:rsidRPr="006F7982">
        <w:rPr>
          <w:color w:val="002060"/>
        </w:rPr>
        <w:t xml:space="preserve"> - </w:t>
      </w:r>
      <w:proofErr w:type="spellStart"/>
      <w:r w:rsidRPr="006F7982">
        <w:rPr>
          <w:color w:val="002060"/>
        </w:rPr>
        <w:t>thể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chất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tâm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lý</w:t>
      </w:r>
      <w:proofErr w:type="spellEnd"/>
    </w:p>
    <w:p w14:paraId="2EF5BA6F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năng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 (</w:t>
      </w:r>
      <w:proofErr w:type="spellStart"/>
      <w:r w:rsidRPr="006F7982">
        <w:rPr>
          <w:color w:val="002060"/>
          <w:szCs w:val="22"/>
        </w:rPr>
        <w:t>mặc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dù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hành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động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mong </w:t>
      </w:r>
      <w:proofErr w:type="spellStart"/>
      <w:r w:rsidRPr="006F7982">
        <w:rPr>
          <w:color w:val="002060"/>
          <w:szCs w:val="22"/>
        </w:rPr>
        <w:t>muốn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đều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thiết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). </w:t>
      </w:r>
      <w:proofErr w:type="spellStart"/>
      <w:r w:rsidRPr="006F7982">
        <w:rPr>
          <w:color w:val="002060"/>
          <w:szCs w:val="22"/>
        </w:rPr>
        <w:t>Một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số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loại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thừa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nhận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b/>
          <w:color w:val="002060"/>
          <w:szCs w:val="22"/>
        </w:rPr>
        <w:t>tổn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thương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thể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chất</w:t>
      </w:r>
      <w:proofErr w:type="spellEnd"/>
      <w:r w:rsidRPr="006F7982">
        <w:rPr>
          <w:color w:val="002060"/>
          <w:szCs w:val="22"/>
        </w:rPr>
        <w:t>.</w:t>
      </w:r>
    </w:p>
    <w:p w14:paraId="23FE1151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4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Gần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đây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nghiên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cứu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khẳng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định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rằng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b/>
          <w:color w:val="002060"/>
          <w:szCs w:val="22"/>
        </w:rPr>
        <w:t>tổn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thương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tâm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lý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ngắn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dài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hạn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Điều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này</w:t>
      </w:r>
      <w:proofErr w:type="spellEnd"/>
      <w:r w:rsidRPr="006F7982">
        <w:rPr>
          <w:color w:val="002060"/>
          <w:szCs w:val="22"/>
        </w:rPr>
        <w:t xml:space="preserve"> bao </w:t>
      </w:r>
      <w:proofErr w:type="spellStart"/>
      <w:r w:rsidRPr="006F7982">
        <w:rPr>
          <w:color w:val="002060"/>
          <w:szCs w:val="22"/>
        </w:rPr>
        <w:t>gồm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về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địa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một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giảm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tính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sẵn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sàng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tham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thông</w:t>
      </w:r>
      <w:proofErr w:type="spellEnd"/>
      <w:r w:rsidRPr="006F7982">
        <w:rPr>
          <w:color w:val="002060"/>
          <w:szCs w:val="22"/>
        </w:rPr>
        <w:t xml:space="preserve"> qua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(</w:t>
      </w:r>
      <w:proofErr w:type="spellStart"/>
      <w:r w:rsidRPr="006F7982">
        <w:rPr>
          <w:color w:val="002060"/>
          <w:szCs w:val="22"/>
        </w:rPr>
        <w:t>đặc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biệt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giấu</w:t>
      </w:r>
      <w:proofErr w:type="spellEnd"/>
      <w:r w:rsidRPr="006F7982">
        <w:rPr>
          <w:color w:val="002060"/>
          <w:szCs w:val="22"/>
        </w:rPr>
        <w:t>).</w:t>
      </w:r>
    </w:p>
    <w:p w14:paraId="64EB0480" w14:textId="77777777" w:rsidR="006F7982" w:rsidRPr="006F7982" w:rsidRDefault="006F7982" w:rsidP="006F7982">
      <w:pPr>
        <w:spacing w:line="240" w:lineRule="auto"/>
        <w:ind w:right="-205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Trên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thực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tế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chỉ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cần</w:t>
      </w:r>
      <w:proofErr w:type="spellEnd"/>
      <w:r w:rsidRPr="006F7982">
        <w:rPr>
          <w:color w:val="002060"/>
          <w:szCs w:val="22"/>
        </w:rPr>
        <w:t xml:space="preserve"> </w:t>
      </w:r>
      <w:r w:rsidRPr="006F7982">
        <w:rPr>
          <w:b/>
          <w:color w:val="002060"/>
          <w:szCs w:val="22"/>
        </w:rPr>
        <w:t xml:space="preserve">lo </w:t>
      </w:r>
      <w:proofErr w:type="spellStart"/>
      <w:r w:rsidRPr="006F7982">
        <w:rPr>
          <w:b/>
          <w:color w:val="002060"/>
          <w:szCs w:val="22"/>
        </w:rPr>
        <w:t>sợ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ăn</w:t>
      </w:r>
      <w:proofErr w:type="spellEnd"/>
      <w:r w:rsidRPr="006F7982">
        <w:rPr>
          <w:b/>
          <w:color w:val="002060"/>
          <w:szCs w:val="22"/>
        </w:rPr>
        <w:t xml:space="preserve"> </w:t>
      </w:r>
      <w:proofErr w:type="spellStart"/>
      <w:r w:rsidRPr="006F7982">
        <w:rPr>
          <w:b/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cũng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ức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chế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tục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khiến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cho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cảm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thấy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lực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chặn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điều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ra. </w:t>
      </w:r>
      <w:proofErr w:type="spellStart"/>
      <w:r w:rsidRPr="006F7982">
        <w:rPr>
          <w:color w:val="002060"/>
          <w:szCs w:val="22"/>
        </w:rPr>
        <w:t>Những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ảnh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hưởng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đặc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biệt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đối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sức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khỏe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tâm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thần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phúc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những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quan</w:t>
      </w:r>
      <w:proofErr w:type="spellEnd"/>
      <w:r w:rsidRPr="006F7982">
        <w:rPr>
          <w:color w:val="002060"/>
          <w:szCs w:val="22"/>
        </w:rPr>
        <w:t xml:space="preserve">, bao </w:t>
      </w:r>
      <w:proofErr w:type="spellStart"/>
      <w:r w:rsidRPr="006F7982">
        <w:rPr>
          <w:color w:val="002060"/>
          <w:szCs w:val="22"/>
        </w:rPr>
        <w:t>gồm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những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chứng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kiến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kéo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dài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ngay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tình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hình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quyết</w:t>
      </w:r>
      <w:proofErr w:type="spellEnd"/>
      <w:r w:rsidRPr="006F7982">
        <w:rPr>
          <w:color w:val="002060"/>
          <w:szCs w:val="22"/>
        </w:rPr>
        <w:t>.</w:t>
      </w:r>
    </w:p>
    <w:p w14:paraId="2718858F" w14:textId="77777777" w:rsidR="006F7982" w:rsidRPr="006F7982" w:rsidRDefault="006F7982" w:rsidP="006F7982">
      <w:pPr>
        <w:spacing w:line="240" w:lineRule="auto"/>
        <w:ind w:right="-205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lastRenderedPageBreak/>
        <w:t>Đôi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thuật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ngữ</w:t>
      </w:r>
      <w:proofErr w:type="spellEnd"/>
      <w:r w:rsidRPr="006F7982">
        <w:rPr>
          <w:color w:val="002060"/>
          <w:szCs w:val="22"/>
        </w:rPr>
        <w:t xml:space="preserve"> '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tâm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lý</w:t>
      </w:r>
      <w:proofErr w:type="spellEnd"/>
      <w:r w:rsidRPr="006F7982">
        <w:rPr>
          <w:color w:val="002060"/>
          <w:szCs w:val="22"/>
        </w:rPr>
        <w:t xml:space="preserve">' </w:t>
      </w:r>
      <w:proofErr w:type="spellStart"/>
      <w:r w:rsidRPr="006F7982">
        <w:rPr>
          <w:color w:val="002060"/>
          <w:szCs w:val="22"/>
        </w:rPr>
        <w:t>được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dùng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mô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dọa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gây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sợ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hãi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tục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nhưng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sẽ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chính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nếu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mô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loại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hành</w:t>
      </w:r>
      <w:proofErr w:type="spellEnd"/>
      <w:r w:rsidRPr="006F7982">
        <w:rPr>
          <w:color w:val="002060"/>
          <w:szCs w:val="22"/>
        </w:rPr>
        <w:t xml:space="preserve"> vi </w:t>
      </w:r>
      <w:proofErr w:type="spellStart"/>
      <w:r w:rsidRPr="006F7982">
        <w:rPr>
          <w:color w:val="002060"/>
          <w:szCs w:val="22"/>
        </w:rPr>
        <w:t>này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'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nói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xã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hội</w:t>
      </w:r>
      <w:proofErr w:type="spellEnd"/>
      <w:r w:rsidRPr="006F7982">
        <w:rPr>
          <w:color w:val="002060"/>
          <w:szCs w:val="22"/>
        </w:rPr>
        <w:t xml:space="preserve">'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ảnh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hưởng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đối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</w:t>
      </w:r>
      <w:proofErr w:type="spellEnd"/>
      <w:r w:rsidRPr="006F7982">
        <w:rPr>
          <w:color w:val="002060"/>
          <w:szCs w:val="22"/>
        </w:rPr>
        <w:t xml:space="preserve"> '</w:t>
      </w:r>
      <w:proofErr w:type="spellStart"/>
      <w:r w:rsidRPr="006F7982">
        <w:rPr>
          <w:color w:val="002060"/>
          <w:szCs w:val="22"/>
        </w:rPr>
        <w:t>tổn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thương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tâm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lý</w:t>
      </w:r>
      <w:proofErr w:type="spellEnd"/>
      <w:r w:rsidRPr="006F7982">
        <w:rPr>
          <w:color w:val="002060"/>
          <w:szCs w:val="22"/>
        </w:rPr>
        <w:t>'.</w:t>
      </w:r>
    </w:p>
    <w:p w14:paraId="72C8775E" w14:textId="77777777" w:rsidR="006F7982" w:rsidRPr="006F7982" w:rsidRDefault="006F7982" w:rsidP="006F7982">
      <w:pPr>
        <w:pStyle w:val="Heading2"/>
        <w:rPr>
          <w:color w:val="002060"/>
        </w:rPr>
      </w:pPr>
      <w:proofErr w:type="spellStart"/>
      <w:r w:rsidRPr="006F7982">
        <w:rPr>
          <w:color w:val="002060"/>
        </w:rPr>
        <w:t>Môi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trường</w:t>
      </w:r>
      <w:proofErr w:type="spellEnd"/>
      <w:r w:rsidRPr="006F7982">
        <w:rPr>
          <w:color w:val="002060"/>
        </w:rPr>
        <w:t xml:space="preserve"> – </w:t>
      </w:r>
      <w:proofErr w:type="spellStart"/>
      <w:r w:rsidRPr="006F7982">
        <w:rPr>
          <w:color w:val="002060"/>
        </w:rPr>
        <w:t>nhà</w:t>
      </w:r>
      <w:proofErr w:type="spellEnd"/>
      <w:r w:rsidRPr="006F7982">
        <w:rPr>
          <w:color w:val="002060"/>
        </w:rPr>
        <w:t xml:space="preserve">, </w:t>
      </w:r>
      <w:proofErr w:type="spellStart"/>
      <w:r w:rsidRPr="006F7982">
        <w:rPr>
          <w:color w:val="002060"/>
        </w:rPr>
        <w:t>nơi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làm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việc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và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trường</w:t>
      </w:r>
      <w:proofErr w:type="spellEnd"/>
      <w:r w:rsidRPr="006F7982">
        <w:rPr>
          <w:color w:val="002060"/>
        </w:rPr>
        <w:t xml:space="preserve"> </w:t>
      </w:r>
      <w:proofErr w:type="spellStart"/>
      <w:r w:rsidRPr="006F7982">
        <w:rPr>
          <w:color w:val="002060"/>
        </w:rPr>
        <w:t>học</w:t>
      </w:r>
      <w:proofErr w:type="spellEnd"/>
    </w:p>
    <w:p w14:paraId="0F9848BD" w14:textId="77777777" w:rsidR="006F7982" w:rsidRPr="006F7982" w:rsidRDefault="006F7982" w:rsidP="006F7982">
      <w:pPr>
        <w:tabs>
          <w:tab w:val="left" w:pos="426"/>
        </w:tabs>
        <w:spacing w:after="200"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ở </w:t>
      </w:r>
      <w:proofErr w:type="spellStart"/>
      <w:r w:rsidRPr="006F7982">
        <w:rPr>
          <w:color w:val="002060"/>
          <w:szCs w:val="22"/>
        </w:rPr>
        <w:t>mọi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nơi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Nó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ở </w:t>
      </w:r>
      <w:proofErr w:type="spellStart"/>
      <w:r w:rsidRPr="006F7982">
        <w:rPr>
          <w:color w:val="002060"/>
          <w:szCs w:val="22"/>
        </w:rPr>
        <w:t>nhà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tại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hay ở </w:t>
      </w:r>
      <w:proofErr w:type="spellStart"/>
      <w:r w:rsidRPr="006F7982">
        <w:rPr>
          <w:color w:val="002060"/>
          <w:szCs w:val="22"/>
        </w:rPr>
        <w:t>trường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học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Nó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bất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cứ</w:t>
      </w:r>
      <w:proofErr w:type="spellEnd"/>
      <w:r w:rsidRPr="006F7982">
        <w:rPr>
          <w:color w:val="002060"/>
          <w:szCs w:val="22"/>
        </w:rPr>
        <w:t xml:space="preserve"> ai. </w:t>
      </w:r>
    </w:p>
    <w:p w14:paraId="602B2A3D" w14:textId="77777777" w:rsidR="006F7982" w:rsidRPr="006F7982" w:rsidRDefault="006F7982" w:rsidP="006F7982">
      <w:pPr>
        <w:tabs>
          <w:tab w:val="left" w:pos="426"/>
        </w:tabs>
        <w:spacing w:line="240" w:lineRule="auto"/>
        <w:ind w:right="-202"/>
        <w:jc w:val="both"/>
        <w:rPr>
          <w:color w:val="002060"/>
          <w:szCs w:val="22"/>
        </w:rPr>
      </w:pP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thể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xảy</w:t>
      </w:r>
      <w:proofErr w:type="spellEnd"/>
      <w:r w:rsidRPr="006F7982">
        <w:rPr>
          <w:color w:val="002060"/>
          <w:szCs w:val="22"/>
        </w:rPr>
        <w:t xml:space="preserve"> ra </w:t>
      </w:r>
      <w:proofErr w:type="spellStart"/>
      <w:r w:rsidRPr="006F7982">
        <w:rPr>
          <w:color w:val="002060"/>
          <w:szCs w:val="22"/>
        </w:rPr>
        <w:t>giữa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sinh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viên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nhân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cha </w:t>
      </w:r>
      <w:proofErr w:type="spellStart"/>
      <w:r w:rsidRPr="006F7982">
        <w:rPr>
          <w:color w:val="002060"/>
          <w:szCs w:val="22"/>
        </w:rPr>
        <w:t>mẹ</w:t>
      </w:r>
      <w:proofErr w:type="spellEnd"/>
      <w:r w:rsidRPr="006F7982">
        <w:rPr>
          <w:color w:val="002060"/>
          <w:szCs w:val="22"/>
        </w:rPr>
        <w:t>/</w:t>
      </w:r>
      <w:proofErr w:type="spellStart"/>
      <w:r w:rsidRPr="006F7982">
        <w:rPr>
          <w:color w:val="002060"/>
          <w:szCs w:val="22"/>
        </w:rPr>
        <w:t>người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chăm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sóc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Không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đời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nào</w:t>
      </w:r>
      <w:proofErr w:type="spellEnd"/>
      <w:r w:rsidRPr="006F7982">
        <w:rPr>
          <w:color w:val="002060"/>
          <w:szCs w:val="22"/>
        </w:rPr>
        <w:t xml:space="preserve">! </w:t>
      </w:r>
      <w:proofErr w:type="spellStart"/>
      <w:r w:rsidRPr="006F7982">
        <w:rPr>
          <w:color w:val="002060"/>
          <w:szCs w:val="22"/>
        </w:rPr>
        <w:t>Hãy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tập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trung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vào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nạn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giữa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sinh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viên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Giáo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bị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ở </w:t>
      </w:r>
      <w:proofErr w:type="spellStart"/>
      <w:r w:rsidRPr="006F7982">
        <w:rPr>
          <w:color w:val="002060"/>
          <w:szCs w:val="22"/>
        </w:rPr>
        <w:t>trường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học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cần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lạc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với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diện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về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sức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khỏe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và</w:t>
      </w:r>
      <w:proofErr w:type="spellEnd"/>
      <w:r w:rsidRPr="006F7982">
        <w:rPr>
          <w:color w:val="002060"/>
          <w:szCs w:val="22"/>
        </w:rPr>
        <w:t xml:space="preserve"> an </w:t>
      </w:r>
      <w:proofErr w:type="spellStart"/>
      <w:r w:rsidRPr="006F7982">
        <w:rPr>
          <w:color w:val="002060"/>
          <w:szCs w:val="22"/>
        </w:rPr>
        <w:t>toàn</w:t>
      </w:r>
      <w:proofErr w:type="spellEnd"/>
      <w:r w:rsidRPr="006F7982">
        <w:rPr>
          <w:color w:val="002060"/>
          <w:szCs w:val="22"/>
        </w:rPr>
        <w:t xml:space="preserve">, </w:t>
      </w:r>
      <w:proofErr w:type="spellStart"/>
      <w:r w:rsidRPr="006F7982">
        <w:rPr>
          <w:color w:val="002060"/>
          <w:szCs w:val="22"/>
        </w:rPr>
        <w:t>bộ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phận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nhân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sự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hoặc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nghiệp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đoàn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của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mình</w:t>
      </w:r>
      <w:proofErr w:type="spellEnd"/>
      <w:r w:rsidRPr="006F7982">
        <w:rPr>
          <w:color w:val="002060"/>
          <w:szCs w:val="22"/>
        </w:rPr>
        <w:t xml:space="preserve">. </w:t>
      </w:r>
      <w:proofErr w:type="spellStart"/>
      <w:r w:rsidRPr="006F7982">
        <w:rPr>
          <w:color w:val="002060"/>
          <w:szCs w:val="22"/>
        </w:rPr>
        <w:t>Thông</w:t>
      </w:r>
      <w:proofErr w:type="spellEnd"/>
      <w:r w:rsidRPr="006F7982">
        <w:rPr>
          <w:color w:val="002060"/>
          <w:szCs w:val="22"/>
        </w:rPr>
        <w:t xml:space="preserve"> tin </w:t>
      </w:r>
      <w:proofErr w:type="spellStart"/>
      <w:r w:rsidRPr="006F7982">
        <w:rPr>
          <w:color w:val="002060"/>
          <w:szCs w:val="22"/>
        </w:rPr>
        <w:t>liên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quan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đến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ăn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hiếp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nơi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làm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việc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có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sẵn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tại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Ủy</w:t>
      </w:r>
      <w:proofErr w:type="spellEnd"/>
      <w:r w:rsidRPr="006F7982">
        <w:rPr>
          <w:color w:val="002060"/>
          <w:szCs w:val="22"/>
        </w:rPr>
        <w:t xml:space="preserve"> ban </w:t>
      </w:r>
      <w:proofErr w:type="spellStart"/>
      <w:r w:rsidRPr="006F7982">
        <w:rPr>
          <w:color w:val="002060"/>
          <w:szCs w:val="22"/>
        </w:rPr>
        <w:t>Công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bằng</w:t>
      </w:r>
      <w:proofErr w:type="spellEnd"/>
      <w:r w:rsidRPr="006F7982">
        <w:rPr>
          <w:color w:val="002060"/>
          <w:szCs w:val="22"/>
        </w:rPr>
        <w:t xml:space="preserve"> Lao </w:t>
      </w:r>
      <w:proofErr w:type="spellStart"/>
      <w:r w:rsidRPr="006F7982">
        <w:rPr>
          <w:color w:val="002060"/>
          <w:szCs w:val="22"/>
        </w:rPr>
        <w:t>động</w:t>
      </w:r>
      <w:proofErr w:type="spellEnd"/>
      <w:r w:rsidRPr="006F7982">
        <w:rPr>
          <w:color w:val="002060"/>
          <w:szCs w:val="22"/>
        </w:rPr>
        <w:t xml:space="preserve"> </w:t>
      </w:r>
      <w:proofErr w:type="spellStart"/>
      <w:r w:rsidRPr="006F7982">
        <w:rPr>
          <w:color w:val="002060"/>
          <w:szCs w:val="22"/>
        </w:rPr>
        <w:t>Úc</w:t>
      </w:r>
      <w:proofErr w:type="spellEnd"/>
      <w:r w:rsidRPr="006F7982">
        <w:rPr>
          <w:color w:val="002060"/>
          <w:szCs w:val="22"/>
        </w:rPr>
        <w:t xml:space="preserve"> </w:t>
      </w:r>
      <w:hyperlink r:id="rId12" w:history="1">
        <w:r w:rsidRPr="006F7982">
          <w:rPr>
            <w:rStyle w:val="Hyperlink"/>
            <w:rFonts w:eastAsiaTheme="majorEastAsia"/>
            <w:color w:val="002060"/>
            <w:szCs w:val="22"/>
          </w:rPr>
          <w:t>https://www.fwc.gov.au/</w:t>
        </w:r>
      </w:hyperlink>
    </w:p>
    <w:p w14:paraId="17073749" w14:textId="3A520676" w:rsidR="000D4318" w:rsidRPr="006F7982" w:rsidRDefault="000D4318" w:rsidP="006F7982">
      <w:pPr>
        <w:tabs>
          <w:tab w:val="left" w:pos="450"/>
        </w:tabs>
        <w:spacing w:before="100" w:beforeAutospacing="1" w:after="100" w:afterAutospacing="1" w:line="240" w:lineRule="auto"/>
        <w:ind w:right="78"/>
        <w:rPr>
          <w:rFonts w:cstheme="minorHAnsi"/>
          <w:color w:val="002060"/>
        </w:rPr>
      </w:pPr>
    </w:p>
    <w:sectPr w:rsidR="000D4318" w:rsidRPr="006F7982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1E75" w14:textId="77777777" w:rsidR="00C778E3" w:rsidRDefault="00C778E3" w:rsidP="002B7185">
      <w:r>
        <w:pict w14:anchorId="1DBB341C">
          <v:rect id="_x0000_i1027" style="width:0;height:1.5pt" o:hralign="center" o:hrstd="t" o:hr="t" fillcolor="#a0a0a0" stroked="f"/>
        </w:pict>
      </w:r>
    </w:p>
    <w:p w14:paraId="411749B1" w14:textId="77777777" w:rsidR="00C778E3" w:rsidRDefault="00C778E3" w:rsidP="002B7185"/>
  </w:endnote>
  <w:endnote w:type="continuationSeparator" w:id="0">
    <w:p w14:paraId="1420C401" w14:textId="77777777" w:rsidR="00C778E3" w:rsidRDefault="00C778E3" w:rsidP="002B7185">
      <w:r>
        <w:pict w14:anchorId="31CAD7F6">
          <v:rect id="_x0000_i1028" style="width:0;height:1.5pt" o:hralign="center" o:hrstd="t" o:hr="t" fillcolor="#a0a0a0" stroked="f"/>
        </w:pict>
      </w:r>
    </w:p>
    <w:p w14:paraId="480C08F8" w14:textId="77777777" w:rsidR="00C778E3" w:rsidRDefault="00C778E3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102" w14:textId="77777777" w:rsidR="00C778E3" w:rsidRPr="00026DC2" w:rsidRDefault="00C778E3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9EDF6D2" w14:textId="77777777" w:rsidR="00C778E3" w:rsidRDefault="00C778E3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6E7C453" w14:textId="77777777" w:rsidR="00C778E3" w:rsidRDefault="00C778E3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27"/>
  </w:num>
  <w:num w:numId="11">
    <w:abstractNumId w:val="31"/>
  </w:num>
  <w:num w:numId="1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5F7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6F7982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277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778E3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52E3F953-ACD9-4E18-98A9-83F1439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48105034C84EAB14E5912D7A8FD7" ma:contentTypeVersion="0" ma:contentTypeDescription="Create a new document." ma:contentTypeScope="" ma:versionID="eb5e3038a4a876305fa5a7ef3db04e70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2023-08-03T06:34:52+00:00</PPModeratedDate>
    <PPLastReviewedDate xmlns="b70dd679-76a0-4ce0-858d-24cdf2777c25">2023-08-03T06:34:52+00:00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CA151-F4E7-423E-B4D3-6E44A3EC4114}"/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hình thức ăn hiếp – Fact sheet: Types of bullying</dc:title>
  <dc:subject>Những hình thức ăn hiếp</dc:subject>
  <dc:creator>Australian Education Authorities / The State of Queensland</dc:creator>
  <cp:keywords/>
  <dc:description/>
  <cp:revision>3</cp:revision>
  <cp:lastPrinted>2023-05-17T13:54:00Z</cp:lastPrinted>
  <dcterms:created xsi:type="dcterms:W3CDTF">2023-07-06T00:47:00Z</dcterms:created>
  <dcterms:modified xsi:type="dcterms:W3CDTF">2023-07-06T00:50:00Z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0x01010006CA48105034C84EAB14E5912D7A8FD7</vt:lpwstr>
  </property>
  <property fmtid="{D5CDD505-2E9C-101B-9397-08002B2CF9AE}" pid="3" name="MediaServiceImageTags">
    <vt:lpwstr/>
  </property>
</Properties>
</file>