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C30" w14:textId="2E004339" w:rsidR="007817A9" w:rsidRPr="007817A9" w:rsidRDefault="00905167" w:rsidP="007817A9">
      <w:pPr>
        <w:pStyle w:val="Documenttitle"/>
        <w:rPr>
          <w:rFonts w:asciiTheme="majorHAnsi" w:hAnsiTheme="majorHAnsi" w:cstheme="majorHAnsi"/>
          <w:color w:val="002060"/>
          <w:sz w:val="70"/>
          <w:szCs w:val="70"/>
        </w:rPr>
      </w:pP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Những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số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liệu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chính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về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ăn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hiếp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và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bạo</w:t>
      </w:r>
      <w:proofErr w:type="spellEnd"/>
      <w:r w:rsidRPr="007817A9">
        <w:rPr>
          <w:rFonts w:asciiTheme="majorHAnsi" w:hAnsiTheme="majorHAnsi" w:cstheme="majorHAnsi"/>
          <w:color w:val="002060"/>
          <w:sz w:val="70"/>
          <w:szCs w:val="70"/>
        </w:rPr>
        <w:t xml:space="preserve"> </w:t>
      </w:r>
      <w:proofErr w:type="spellStart"/>
      <w:r w:rsidRPr="007817A9">
        <w:rPr>
          <w:rFonts w:asciiTheme="majorHAnsi" w:hAnsiTheme="majorHAnsi" w:cstheme="majorHAnsi"/>
          <w:color w:val="002060"/>
          <w:sz w:val="70"/>
          <w:szCs w:val="70"/>
        </w:rPr>
        <w:t>lực</w:t>
      </w:r>
      <w:proofErr w:type="spellEnd"/>
    </w:p>
    <w:p w14:paraId="21CFA658" w14:textId="77777777" w:rsidR="00727A92" w:rsidRPr="007817A9" w:rsidRDefault="00727A92" w:rsidP="00727A92">
      <w:pPr>
        <w:pStyle w:val="Documenttitle"/>
        <w:rPr>
          <w:rFonts w:asciiTheme="majorHAnsi" w:hAnsiTheme="majorHAnsi" w:cstheme="majorHAnsi"/>
          <w:color w:val="002060"/>
          <w:sz w:val="2"/>
          <w:szCs w:val="2"/>
          <w:lang w:val="en"/>
        </w:rPr>
      </w:pPr>
    </w:p>
    <w:p w14:paraId="7AB96DE6" w14:textId="3F6D14D6" w:rsidR="00CE784A" w:rsidRPr="007817A9" w:rsidRDefault="007817A9" w:rsidP="00CE784A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proofErr w:type="spellStart"/>
      <w:r w:rsidRPr="007817A9">
        <w:rPr>
          <w:rFonts w:ascii="Open Sans SemiBold" w:hAnsi="Open Sans SemiBold"/>
          <w:color w:val="002060"/>
          <w:sz w:val="50"/>
          <w:szCs w:val="50"/>
        </w:rPr>
        <w:t>Ăn</w:t>
      </w:r>
      <w:proofErr w:type="spellEnd"/>
      <w:r w:rsidRPr="007817A9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7817A9">
        <w:rPr>
          <w:rFonts w:ascii="Open Sans SemiBold" w:hAnsi="Open Sans SemiBold"/>
          <w:color w:val="002060"/>
          <w:sz w:val="50"/>
          <w:szCs w:val="50"/>
        </w:rPr>
        <w:t>hiếp</w:t>
      </w:r>
      <w:proofErr w:type="spellEnd"/>
    </w:p>
    <w:p w14:paraId="320FFFC5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Cứ</w:t>
      </w:r>
      <w:proofErr w:type="spellEnd"/>
      <w:r w:rsidRPr="007817A9">
        <w:rPr>
          <w:color w:val="002060"/>
          <w:szCs w:val="22"/>
          <w:lang w:val="en"/>
        </w:rPr>
        <w:t xml:space="preserve"> 4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Úc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từ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lớp</w:t>
      </w:r>
      <w:proofErr w:type="spellEnd"/>
      <w:r w:rsidRPr="007817A9">
        <w:rPr>
          <w:color w:val="002060"/>
          <w:szCs w:val="22"/>
          <w:lang w:val="en"/>
        </w:rPr>
        <w:t xml:space="preserve"> 4 </w:t>
      </w:r>
      <w:proofErr w:type="spellStart"/>
      <w:r w:rsidRPr="007817A9">
        <w:rPr>
          <w:color w:val="002060"/>
          <w:szCs w:val="22"/>
          <w:lang w:val="en"/>
        </w:rPr>
        <w:t>đến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lớp</w:t>
      </w:r>
      <w:proofErr w:type="spellEnd"/>
      <w:r w:rsidRPr="007817A9">
        <w:rPr>
          <w:color w:val="002060"/>
          <w:szCs w:val="22"/>
          <w:lang w:val="en"/>
        </w:rPr>
        <w:t xml:space="preserve"> 9 </w:t>
      </w:r>
      <w:proofErr w:type="spellStart"/>
      <w:r w:rsidRPr="007817A9">
        <w:rPr>
          <w:color w:val="002060"/>
          <w:szCs w:val="22"/>
          <w:lang w:val="en"/>
        </w:rPr>
        <w:t>thì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có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khoảng</w:t>
      </w:r>
      <w:proofErr w:type="spellEnd"/>
      <w:r w:rsidRPr="007817A9">
        <w:rPr>
          <w:color w:val="002060"/>
          <w:szCs w:val="22"/>
          <w:lang w:val="en"/>
        </w:rPr>
        <w:t xml:space="preserve"> 1 (27%) </w:t>
      </w:r>
      <w:proofErr w:type="spellStart"/>
      <w:r w:rsidRPr="007817A9">
        <w:rPr>
          <w:color w:val="002060"/>
          <w:szCs w:val="22"/>
          <w:lang w:val="en"/>
        </w:rPr>
        <w:t>cho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biết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bị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vài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tuần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một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lần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hoặc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xuyên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hơn</w:t>
      </w:r>
      <w:proofErr w:type="spellEnd"/>
      <w:r w:rsidRPr="007817A9">
        <w:rPr>
          <w:color w:val="002060"/>
          <w:szCs w:val="22"/>
          <w:lang w:val="en"/>
        </w:rPr>
        <w:t xml:space="preserve"> (</w:t>
      </w:r>
      <w:proofErr w:type="spellStart"/>
      <w:r w:rsidRPr="007817A9">
        <w:rPr>
          <w:color w:val="002060"/>
          <w:szCs w:val="22"/>
          <w:lang w:val="en"/>
        </w:rPr>
        <w:t>được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coi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xuyên</w:t>
      </w:r>
      <w:proofErr w:type="spellEnd"/>
      <w:r w:rsidRPr="007817A9">
        <w:rPr>
          <w:color w:val="002060"/>
          <w:szCs w:val="22"/>
          <w:lang w:val="en"/>
        </w:rPr>
        <w:t xml:space="preserve">) </w:t>
      </w:r>
      <w:proofErr w:type="spellStart"/>
      <w:r w:rsidRPr="007817A9">
        <w:rPr>
          <w:color w:val="002060"/>
          <w:szCs w:val="22"/>
          <w:lang w:val="en"/>
        </w:rPr>
        <w:t>trong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kỳ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vừa</w:t>
      </w:r>
      <w:proofErr w:type="spellEnd"/>
      <w:r w:rsidRPr="007817A9">
        <w:rPr>
          <w:color w:val="002060"/>
          <w:szCs w:val="22"/>
          <w:lang w:val="en"/>
        </w:rPr>
        <w:t xml:space="preserve"> qua </w:t>
      </w:r>
      <w:proofErr w:type="spellStart"/>
      <w:r w:rsidRPr="007817A9">
        <w:rPr>
          <w:color w:val="002060"/>
          <w:szCs w:val="22"/>
          <w:lang w:val="en"/>
        </w:rPr>
        <w:t>tại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2AD3F31F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Số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vụ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xuyên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tại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cao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nhất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lớp</w:t>
      </w:r>
      <w:proofErr w:type="spellEnd"/>
      <w:r w:rsidRPr="007817A9">
        <w:rPr>
          <w:color w:val="002060"/>
          <w:szCs w:val="22"/>
          <w:lang w:val="en"/>
        </w:rPr>
        <w:t xml:space="preserve"> 5 (32%) </w:t>
      </w:r>
      <w:proofErr w:type="spellStart"/>
      <w:r w:rsidRPr="007817A9">
        <w:rPr>
          <w:color w:val="002060"/>
          <w:szCs w:val="22"/>
          <w:lang w:val="en"/>
        </w:rPr>
        <w:t>và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lớp</w:t>
      </w:r>
      <w:proofErr w:type="spellEnd"/>
      <w:r w:rsidRPr="007817A9">
        <w:rPr>
          <w:color w:val="002060"/>
          <w:szCs w:val="22"/>
          <w:lang w:val="en"/>
        </w:rPr>
        <w:t xml:space="preserve"> 8 (29%).</w:t>
      </w:r>
    </w:p>
    <w:p w14:paraId="2022BBD6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r w:rsidRPr="007817A9">
        <w:rPr>
          <w:color w:val="002060"/>
          <w:szCs w:val="22"/>
          <w:lang w:val="en"/>
        </w:rPr>
        <w:t xml:space="preserve">83% </w:t>
      </w:r>
      <w:proofErr w:type="spellStart"/>
      <w:r w:rsidRPr="007817A9">
        <w:rPr>
          <w:color w:val="002060"/>
          <w:szCs w:val="22"/>
          <w:lang w:val="en"/>
        </w:rPr>
        <w:t>số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khác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mạng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cũng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thực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hiện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ngoài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đời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6F8CD6D5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r w:rsidRPr="007817A9">
        <w:rPr>
          <w:color w:val="002060"/>
          <w:szCs w:val="22"/>
          <w:lang w:val="en"/>
        </w:rPr>
        <w:t xml:space="preserve">84% </w:t>
      </w:r>
      <w:proofErr w:type="spellStart"/>
      <w:r w:rsidRPr="007817A9">
        <w:rPr>
          <w:color w:val="002060"/>
          <w:szCs w:val="22"/>
          <w:lang w:val="en"/>
        </w:rPr>
        <w:t>số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bị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mạng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cũng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đồng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bị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ngoài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đời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091A9E45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r w:rsidRPr="007817A9">
        <w:rPr>
          <w:color w:val="002060"/>
          <w:szCs w:val="22"/>
          <w:lang w:val="en"/>
        </w:rPr>
        <w:t xml:space="preserve">87% </w:t>
      </w:r>
      <w:proofErr w:type="spellStart"/>
      <w:r w:rsidRPr="007817A9">
        <w:rPr>
          <w:color w:val="002060"/>
          <w:szCs w:val="22"/>
          <w:lang w:val="en"/>
        </w:rPr>
        <w:t>trường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hợp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có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bạn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bè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chứng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kiến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đóng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một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vai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trò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trung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tâm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trong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quá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trình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5D367E54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Trêu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đùa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gây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hại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hành</w:t>
      </w:r>
      <w:proofErr w:type="spellEnd"/>
      <w:r w:rsidRPr="007817A9">
        <w:rPr>
          <w:color w:val="002060"/>
          <w:szCs w:val="22"/>
          <w:lang w:val="en"/>
        </w:rPr>
        <w:t xml:space="preserve"> vi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phổ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biến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nhất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gặp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phải</w:t>
      </w:r>
      <w:proofErr w:type="spellEnd"/>
      <w:r w:rsidRPr="007817A9">
        <w:rPr>
          <w:color w:val="002060"/>
          <w:szCs w:val="22"/>
          <w:lang w:val="en"/>
        </w:rPr>
        <w:t xml:space="preserve">, </w:t>
      </w:r>
      <w:proofErr w:type="spellStart"/>
      <w:r w:rsidRPr="007817A9">
        <w:rPr>
          <w:color w:val="002060"/>
          <w:szCs w:val="22"/>
          <w:lang w:val="en"/>
        </w:rPr>
        <w:t>tiếp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theo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những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nói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dối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gây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hại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về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các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em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0E993E60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Dường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như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mạng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có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liên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quan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lứa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(</w:t>
      </w:r>
      <w:proofErr w:type="spellStart"/>
      <w:r w:rsidRPr="007817A9">
        <w:rPr>
          <w:color w:val="002060"/>
          <w:szCs w:val="22"/>
          <w:lang w:val="en"/>
        </w:rPr>
        <w:t>hoặc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cận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công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nghệ</w:t>
      </w:r>
      <w:proofErr w:type="spellEnd"/>
      <w:r w:rsidRPr="007817A9">
        <w:rPr>
          <w:color w:val="002060"/>
          <w:szCs w:val="22"/>
          <w:lang w:val="en"/>
        </w:rPr>
        <w:t xml:space="preserve">), </w:t>
      </w:r>
      <w:proofErr w:type="spellStart"/>
      <w:r w:rsidRPr="007817A9">
        <w:rPr>
          <w:color w:val="002060"/>
          <w:szCs w:val="22"/>
          <w:lang w:val="en"/>
        </w:rPr>
        <w:t>trong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đó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có</w:t>
      </w:r>
      <w:proofErr w:type="spellEnd"/>
      <w:r w:rsidRPr="007817A9">
        <w:rPr>
          <w:color w:val="002060"/>
          <w:szCs w:val="22"/>
          <w:lang w:val="en"/>
        </w:rPr>
        <w:t xml:space="preserve"> xu </w:t>
      </w:r>
      <w:proofErr w:type="spellStart"/>
      <w:r w:rsidRPr="007817A9">
        <w:rPr>
          <w:color w:val="002060"/>
          <w:szCs w:val="22"/>
          <w:lang w:val="en"/>
        </w:rPr>
        <w:t>hướng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tham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gia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vào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việc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ăn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hiếp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mạng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hơn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sinh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nhỏ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27FAA4E5" w14:textId="77777777" w:rsidR="007817A9" w:rsidRPr="007817A9" w:rsidRDefault="007817A9" w:rsidP="007817A9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color w:val="002060"/>
          <w:sz w:val="18"/>
          <w:szCs w:val="18"/>
        </w:rPr>
      </w:pPr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(</w:t>
      </w:r>
      <w:proofErr w:type="spellStart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Nguồn</w:t>
      </w:r>
      <w:proofErr w:type="spellEnd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: Cross, D., Shaw, T., Hearn, L., Epstein, M., Monks, H., Lester, L., &amp; Thomas, L. 2009. Australian Covert Bullying Prevalence Study (ACBPS). Child Health Promotion Research Centre, Edith Cowan University, Perth).</w:t>
      </w:r>
    </w:p>
    <w:p w14:paraId="5594AB9F" w14:textId="77777777" w:rsidR="007817A9" w:rsidRPr="007817A9" w:rsidRDefault="007817A9" w:rsidP="007817A9">
      <w:pPr>
        <w:kinsoku w:val="0"/>
        <w:overflowPunct w:val="0"/>
        <w:spacing w:before="14" w:line="240" w:lineRule="auto"/>
        <w:rPr>
          <w:color w:val="002060"/>
          <w:sz w:val="26"/>
          <w:szCs w:val="26"/>
        </w:rPr>
      </w:pPr>
    </w:p>
    <w:p w14:paraId="4388E913" w14:textId="77777777" w:rsidR="007817A9" w:rsidRPr="007817A9" w:rsidRDefault="007817A9" w:rsidP="007817A9">
      <w:pPr>
        <w:pStyle w:val="Heading1"/>
        <w:rPr>
          <w:rFonts w:ascii="Open Sans SemiBold" w:hAnsi="Open Sans SemiBold"/>
          <w:color w:val="002060"/>
          <w:sz w:val="50"/>
          <w:szCs w:val="50"/>
        </w:rPr>
      </w:pPr>
      <w:proofErr w:type="spellStart"/>
      <w:r w:rsidRPr="007817A9">
        <w:rPr>
          <w:rFonts w:ascii="Open Sans SemiBold" w:hAnsi="Open Sans SemiBold"/>
          <w:color w:val="002060"/>
          <w:sz w:val="50"/>
          <w:szCs w:val="50"/>
        </w:rPr>
        <w:t>Bạo</w:t>
      </w:r>
      <w:proofErr w:type="spellEnd"/>
      <w:r w:rsidRPr="007817A9">
        <w:rPr>
          <w:rFonts w:ascii="Open Sans SemiBold" w:hAnsi="Open Sans SemiBold"/>
          <w:color w:val="002060"/>
          <w:sz w:val="50"/>
          <w:szCs w:val="50"/>
        </w:rPr>
        <w:t xml:space="preserve"> </w:t>
      </w:r>
      <w:proofErr w:type="spellStart"/>
      <w:r w:rsidRPr="007817A9">
        <w:rPr>
          <w:rFonts w:ascii="Open Sans SemiBold" w:hAnsi="Open Sans SemiBold"/>
          <w:color w:val="002060"/>
          <w:sz w:val="50"/>
          <w:szCs w:val="50"/>
        </w:rPr>
        <w:t>lực</w:t>
      </w:r>
      <w:proofErr w:type="spellEnd"/>
    </w:p>
    <w:p w14:paraId="76625078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Đại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số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trẻ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em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trẻ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không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liên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quan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bạo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lực</w:t>
      </w:r>
      <w:proofErr w:type="spellEnd"/>
      <w:r w:rsidRPr="007817A9">
        <w:rPr>
          <w:color w:val="002060"/>
          <w:szCs w:val="22"/>
          <w:lang w:val="en"/>
        </w:rPr>
        <w:t xml:space="preserve">, </w:t>
      </w:r>
      <w:proofErr w:type="spellStart"/>
      <w:r w:rsidRPr="007817A9">
        <w:rPr>
          <w:color w:val="002060"/>
          <w:szCs w:val="22"/>
          <w:lang w:val="en"/>
        </w:rPr>
        <w:t>với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tư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cách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nạn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nhân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hoặc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thủ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phạm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34B6123E" w14:textId="77777777" w:rsidR="007817A9" w:rsidRPr="007817A9" w:rsidRDefault="007817A9" w:rsidP="007817A9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</w:pPr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(</w:t>
      </w:r>
      <w:proofErr w:type="spellStart"/>
      <w:proofErr w:type="gramStart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Nguồn:Commissioner</w:t>
      </w:r>
      <w:proofErr w:type="spellEnd"/>
      <w:proofErr w:type="gramEnd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 xml:space="preserve"> for Children and Young People, Western Australia (2009), Submission to the National Inquiry into the Impact of violence on Young Australians. Submission No 33).</w:t>
      </w:r>
    </w:p>
    <w:p w14:paraId="47E697BC" w14:textId="77777777" w:rsidR="007817A9" w:rsidRPr="007817A9" w:rsidRDefault="007817A9" w:rsidP="007817A9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</w:pPr>
    </w:p>
    <w:p w14:paraId="7457DE83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Trong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trẻ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thường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bị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coi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thủ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phạm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chủ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yếu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gây</w:t>
      </w:r>
      <w:proofErr w:type="spellEnd"/>
      <w:r w:rsidRPr="007817A9">
        <w:rPr>
          <w:color w:val="002060"/>
          <w:szCs w:val="22"/>
          <w:lang w:val="en"/>
        </w:rPr>
        <w:t xml:space="preserve"> ra </w:t>
      </w:r>
      <w:proofErr w:type="spellStart"/>
      <w:r w:rsidRPr="007817A9">
        <w:rPr>
          <w:color w:val="002060"/>
          <w:szCs w:val="22"/>
          <w:lang w:val="en"/>
        </w:rPr>
        <w:t>bạo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lực</w:t>
      </w:r>
      <w:proofErr w:type="spellEnd"/>
      <w:r w:rsidRPr="007817A9">
        <w:rPr>
          <w:color w:val="002060"/>
          <w:szCs w:val="22"/>
          <w:lang w:val="en"/>
        </w:rPr>
        <w:t xml:space="preserve">, </w:t>
      </w:r>
      <w:proofErr w:type="spellStart"/>
      <w:r w:rsidRPr="007817A9">
        <w:rPr>
          <w:color w:val="002060"/>
          <w:szCs w:val="22"/>
          <w:lang w:val="en"/>
        </w:rPr>
        <w:t>nhưng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trên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thực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tế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nguy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cơ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lớn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nhất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của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trở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thành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nạn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nhân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6A0031E9" w14:textId="77777777" w:rsidR="007817A9" w:rsidRPr="007817A9" w:rsidRDefault="007817A9" w:rsidP="007817A9">
      <w:pPr>
        <w:numPr>
          <w:ilvl w:val="0"/>
          <w:numId w:val="11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color w:val="002060"/>
          <w:szCs w:val="22"/>
          <w:lang w:val="en"/>
        </w:rPr>
      </w:pP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trẻ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lại</w:t>
      </w:r>
      <w:proofErr w:type="spellEnd"/>
      <w:r w:rsidRPr="007817A9">
        <w:rPr>
          <w:color w:val="002060"/>
          <w:szCs w:val="22"/>
          <w:lang w:val="en"/>
        </w:rPr>
        <w:t xml:space="preserve"> lo </w:t>
      </w:r>
      <w:proofErr w:type="spellStart"/>
      <w:r w:rsidRPr="007817A9">
        <w:rPr>
          <w:color w:val="002060"/>
          <w:szCs w:val="22"/>
          <w:lang w:val="en"/>
        </w:rPr>
        <w:t>lắng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về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sự</w:t>
      </w:r>
      <w:proofErr w:type="spellEnd"/>
      <w:r w:rsidRPr="007817A9">
        <w:rPr>
          <w:color w:val="002060"/>
          <w:szCs w:val="22"/>
          <w:lang w:val="en"/>
        </w:rPr>
        <w:t xml:space="preserve"> an </w:t>
      </w:r>
      <w:proofErr w:type="spellStart"/>
      <w:r w:rsidRPr="007817A9">
        <w:rPr>
          <w:color w:val="002060"/>
          <w:szCs w:val="22"/>
          <w:lang w:val="en"/>
        </w:rPr>
        <w:t>toàn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của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chính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họ</w:t>
      </w:r>
      <w:proofErr w:type="spellEnd"/>
      <w:r w:rsidRPr="007817A9">
        <w:rPr>
          <w:color w:val="002060"/>
          <w:szCs w:val="22"/>
          <w:lang w:val="en"/>
        </w:rPr>
        <w:t xml:space="preserve">, </w:t>
      </w:r>
      <w:proofErr w:type="spellStart"/>
      <w:r w:rsidRPr="007817A9">
        <w:rPr>
          <w:color w:val="002060"/>
          <w:szCs w:val="22"/>
          <w:lang w:val="en"/>
        </w:rPr>
        <w:t>với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khoảng</w:t>
      </w:r>
      <w:proofErr w:type="spellEnd"/>
      <w:r w:rsidRPr="007817A9">
        <w:rPr>
          <w:color w:val="002060"/>
          <w:szCs w:val="22"/>
          <w:lang w:val="en"/>
        </w:rPr>
        <w:t xml:space="preserve"> ¼ </w:t>
      </w: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trẻ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từ</w:t>
      </w:r>
      <w:proofErr w:type="spellEnd"/>
      <w:r w:rsidRPr="007817A9">
        <w:rPr>
          <w:color w:val="002060"/>
          <w:szCs w:val="22"/>
          <w:lang w:val="en"/>
        </w:rPr>
        <w:t xml:space="preserve"> 18-24 </w:t>
      </w:r>
      <w:proofErr w:type="spellStart"/>
      <w:r w:rsidRPr="007817A9">
        <w:rPr>
          <w:color w:val="002060"/>
          <w:szCs w:val="22"/>
          <w:lang w:val="en"/>
        </w:rPr>
        <w:t>tuổi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cảm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thấy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không</w:t>
      </w:r>
      <w:proofErr w:type="spellEnd"/>
      <w:r w:rsidRPr="007817A9">
        <w:rPr>
          <w:color w:val="002060"/>
          <w:szCs w:val="22"/>
          <w:lang w:val="en"/>
        </w:rPr>
        <w:t xml:space="preserve"> an </w:t>
      </w:r>
      <w:proofErr w:type="spellStart"/>
      <w:r w:rsidRPr="007817A9">
        <w:rPr>
          <w:color w:val="002060"/>
          <w:szCs w:val="22"/>
          <w:lang w:val="en"/>
        </w:rPr>
        <w:t>toàn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hoặc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rất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không</w:t>
      </w:r>
      <w:proofErr w:type="spellEnd"/>
      <w:r w:rsidRPr="007817A9">
        <w:rPr>
          <w:color w:val="002060"/>
          <w:szCs w:val="22"/>
          <w:lang w:val="en"/>
        </w:rPr>
        <w:t xml:space="preserve"> an </w:t>
      </w:r>
      <w:proofErr w:type="spellStart"/>
      <w:r w:rsidRPr="007817A9">
        <w:rPr>
          <w:color w:val="002060"/>
          <w:szCs w:val="22"/>
          <w:lang w:val="en"/>
        </w:rPr>
        <w:t>toàn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đi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bộ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một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mình</w:t>
      </w:r>
      <w:proofErr w:type="spellEnd"/>
      <w:r w:rsidRPr="007817A9">
        <w:rPr>
          <w:color w:val="002060"/>
          <w:szCs w:val="22"/>
          <w:lang w:val="en"/>
        </w:rPr>
        <w:t xml:space="preserve"> ở </w:t>
      </w:r>
      <w:proofErr w:type="spellStart"/>
      <w:r w:rsidRPr="007817A9">
        <w:rPr>
          <w:color w:val="002060"/>
          <w:szCs w:val="22"/>
          <w:lang w:val="en"/>
        </w:rPr>
        <w:t>gần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nhà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trời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tối</w:t>
      </w:r>
      <w:proofErr w:type="spellEnd"/>
      <w:r w:rsidRPr="007817A9">
        <w:rPr>
          <w:color w:val="002060"/>
          <w:szCs w:val="22"/>
          <w:lang w:val="en"/>
        </w:rPr>
        <w:t xml:space="preserve">, </w:t>
      </w:r>
      <w:proofErr w:type="spellStart"/>
      <w:r w:rsidRPr="007817A9">
        <w:rPr>
          <w:color w:val="002060"/>
          <w:szCs w:val="22"/>
          <w:lang w:val="en"/>
        </w:rPr>
        <w:t>và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khoảng</w:t>
      </w:r>
      <w:proofErr w:type="spellEnd"/>
      <w:r w:rsidRPr="007817A9">
        <w:rPr>
          <w:color w:val="002060"/>
          <w:szCs w:val="22"/>
          <w:lang w:val="en"/>
        </w:rPr>
        <w:t xml:space="preserve"> 1 </w:t>
      </w:r>
      <w:proofErr w:type="spellStart"/>
      <w:r w:rsidRPr="007817A9">
        <w:rPr>
          <w:color w:val="002060"/>
          <w:szCs w:val="22"/>
          <w:lang w:val="en"/>
        </w:rPr>
        <w:t>trong</w:t>
      </w:r>
      <w:proofErr w:type="spellEnd"/>
      <w:r w:rsidRPr="007817A9">
        <w:rPr>
          <w:color w:val="002060"/>
          <w:szCs w:val="22"/>
          <w:lang w:val="en"/>
        </w:rPr>
        <w:t xml:space="preserve"> 10 </w:t>
      </w:r>
      <w:proofErr w:type="spellStart"/>
      <w:r w:rsidRPr="007817A9">
        <w:rPr>
          <w:color w:val="002060"/>
          <w:szCs w:val="22"/>
          <w:lang w:val="en"/>
        </w:rPr>
        <w:t>người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cảm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thấy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không</w:t>
      </w:r>
      <w:proofErr w:type="spellEnd"/>
      <w:r w:rsidRPr="007817A9">
        <w:rPr>
          <w:color w:val="002060"/>
          <w:szCs w:val="22"/>
          <w:lang w:val="en"/>
        </w:rPr>
        <w:t xml:space="preserve"> an </w:t>
      </w:r>
      <w:proofErr w:type="spellStart"/>
      <w:r w:rsidRPr="007817A9">
        <w:rPr>
          <w:color w:val="002060"/>
          <w:szCs w:val="22"/>
          <w:lang w:val="en"/>
        </w:rPr>
        <w:t>toàn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khi</w:t>
      </w:r>
      <w:proofErr w:type="spellEnd"/>
      <w:r w:rsidRPr="007817A9">
        <w:rPr>
          <w:color w:val="002060"/>
          <w:szCs w:val="22"/>
          <w:lang w:val="en"/>
        </w:rPr>
        <w:t xml:space="preserve"> ở </w:t>
      </w:r>
      <w:proofErr w:type="spellStart"/>
      <w:r w:rsidRPr="007817A9">
        <w:rPr>
          <w:color w:val="002060"/>
          <w:szCs w:val="22"/>
          <w:lang w:val="en"/>
        </w:rPr>
        <w:t>nhà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vào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buổi</w:t>
      </w:r>
      <w:proofErr w:type="spellEnd"/>
      <w:r w:rsidRPr="007817A9">
        <w:rPr>
          <w:color w:val="002060"/>
          <w:szCs w:val="22"/>
          <w:lang w:val="en"/>
        </w:rPr>
        <w:t xml:space="preserve"> </w:t>
      </w:r>
      <w:proofErr w:type="spellStart"/>
      <w:r w:rsidRPr="007817A9">
        <w:rPr>
          <w:color w:val="002060"/>
          <w:szCs w:val="22"/>
          <w:lang w:val="en"/>
        </w:rPr>
        <w:t>tối</w:t>
      </w:r>
      <w:proofErr w:type="spellEnd"/>
      <w:r w:rsidRPr="007817A9">
        <w:rPr>
          <w:color w:val="002060"/>
          <w:szCs w:val="22"/>
          <w:lang w:val="en"/>
        </w:rPr>
        <w:t>.</w:t>
      </w:r>
    </w:p>
    <w:p w14:paraId="17073749" w14:textId="6323A534" w:rsidR="000D4318" w:rsidRPr="007817A9" w:rsidRDefault="007817A9" w:rsidP="007817A9">
      <w:pPr>
        <w:kinsoku w:val="0"/>
        <w:overflowPunct w:val="0"/>
        <w:spacing w:line="240" w:lineRule="auto"/>
        <w:ind w:right="-64"/>
        <w:jc w:val="both"/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</w:pPr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(</w:t>
      </w:r>
      <w:proofErr w:type="spellStart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Nguồn</w:t>
      </w:r>
      <w:proofErr w:type="spellEnd"/>
      <w:r w:rsidRPr="007817A9">
        <w:rPr>
          <w:rFonts w:ascii="Verdana" w:hAnsi="Verdana" w:cs="Verdana"/>
          <w:i/>
          <w:iCs/>
          <w:color w:val="002060"/>
          <w:spacing w:val="-1"/>
          <w:sz w:val="18"/>
          <w:szCs w:val="18"/>
        </w:rPr>
        <w:t>: Parliament of the Commonwealth of Australia 2010, Avoid the Harm - Stay Calm Report on the inquiry into the impact of violence on young Australians).</w:t>
      </w:r>
    </w:p>
    <w:sectPr w:rsidR="000D4318" w:rsidRPr="007817A9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3D02" w14:textId="77777777" w:rsidR="007C2325" w:rsidRDefault="007C2325" w:rsidP="002B7185">
      <w:r>
        <w:pict w14:anchorId="1DBB341C">
          <v:rect id="_x0000_i1027" style="width:0;height:1.5pt" o:hralign="center" o:hrstd="t" o:hr="t" fillcolor="#a0a0a0" stroked="f"/>
        </w:pict>
      </w:r>
    </w:p>
    <w:p w14:paraId="77296631" w14:textId="77777777" w:rsidR="007C2325" w:rsidRDefault="007C2325" w:rsidP="002B7185"/>
  </w:endnote>
  <w:endnote w:type="continuationSeparator" w:id="0">
    <w:p w14:paraId="2E44DDA6" w14:textId="77777777" w:rsidR="007C2325" w:rsidRDefault="007C2325" w:rsidP="002B7185">
      <w:r>
        <w:pict w14:anchorId="31CAD7F6">
          <v:rect id="_x0000_i1028" style="width:0;height:1.5pt" o:hralign="center" o:hrstd="t" o:hr="t" fillcolor="#a0a0a0" stroked="f"/>
        </w:pict>
      </w:r>
    </w:p>
    <w:p w14:paraId="22F7F86E" w14:textId="77777777" w:rsidR="007C2325" w:rsidRDefault="007C2325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8047" w14:textId="77777777" w:rsidR="007C2325" w:rsidRPr="00026DC2" w:rsidRDefault="007C2325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040AC231" w14:textId="77777777" w:rsidR="007C2325" w:rsidRDefault="007C2325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486592AE" w14:textId="77777777" w:rsidR="007C2325" w:rsidRDefault="007C2325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7A9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2325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5167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04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742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6D8D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2F74F76A-A5EB-415A-B1B5-D8240DF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48105034C84EAB14E5912D7A8FD7" ma:contentTypeVersion="0" ma:contentTypeDescription="Create a new document." ma:contentTypeScope="" ma:versionID="eb5e3038a4a876305fa5a7ef3db04e70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2023-08-03T06:34:49+00:00</PPModeratedDate>
    <PPLastReviewedDate xmlns="b70dd679-76a0-4ce0-858d-24cdf2777c25">2023-08-03T06:34:49+00:00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0B511-AD67-4AEE-A723-48D728D01FB1}"/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số liệu chính về ăn hiếp và bạo lực – Fact sheet: Key facts about bullying and violence</dc:title>
  <dc:subject>Những số liệu chính về ăn hiếp và bạo lực</dc:subject>
  <dc:creator>Australian Education Authorities / The State of Queensland</dc:creator>
  <cp:keywords/>
  <dc:description/>
  <cp:revision>4</cp:revision>
  <cp:lastPrinted>2023-05-17T13:54:00Z</cp:lastPrinted>
  <dcterms:created xsi:type="dcterms:W3CDTF">2023-07-06T00:45:00Z</dcterms:created>
  <dcterms:modified xsi:type="dcterms:W3CDTF">2023-07-06T01:41:00Z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0x01010006CA48105034C84EAB14E5912D7A8FD7</vt:lpwstr>
  </property>
  <property fmtid="{D5CDD505-2E9C-101B-9397-08002B2CF9AE}" pid="3" name="MediaServiceImageTags">
    <vt:lpwstr/>
  </property>
</Properties>
</file>