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EC96" w14:textId="77777777" w:rsidR="003E1D6F" w:rsidRPr="003E1D6F" w:rsidRDefault="003E1D6F" w:rsidP="003E1D6F">
      <w:pPr>
        <w:pStyle w:val="Heading1"/>
        <w:rPr>
          <w:color w:val="002060"/>
        </w:rPr>
      </w:pPr>
      <w:proofErr w:type="spellStart"/>
      <w:r w:rsidRPr="003E1D6F">
        <w:rPr>
          <w:color w:val="002060"/>
        </w:rPr>
        <w:t>Định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nghĩa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về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ăn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hiếp</w:t>
      </w:r>
      <w:proofErr w:type="spellEnd"/>
      <w:r w:rsidRPr="003E1D6F">
        <w:rPr>
          <w:color w:val="002060"/>
        </w:rPr>
        <w:t xml:space="preserve">, </w:t>
      </w:r>
      <w:proofErr w:type="spellStart"/>
      <w:r w:rsidRPr="003E1D6F">
        <w:rPr>
          <w:color w:val="002060"/>
        </w:rPr>
        <w:t>quấy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rối</w:t>
      </w:r>
      <w:proofErr w:type="spellEnd"/>
      <w:r w:rsidRPr="003E1D6F">
        <w:rPr>
          <w:color w:val="002060"/>
        </w:rPr>
        <w:t xml:space="preserve">, </w:t>
      </w:r>
      <w:proofErr w:type="spellStart"/>
      <w:r w:rsidRPr="003E1D6F">
        <w:rPr>
          <w:color w:val="002060"/>
        </w:rPr>
        <w:t>phân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biệt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đối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xử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và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bạo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lực</w:t>
      </w:r>
      <w:proofErr w:type="spellEnd"/>
    </w:p>
    <w:p w14:paraId="21CFA658" w14:textId="46D35EF4" w:rsidR="00727A92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quấy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rối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phân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biệt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đối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xử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bạo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lực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vi </w:t>
      </w:r>
      <w:proofErr w:type="spellStart"/>
      <w:r w:rsidRPr="003E1D6F">
        <w:rPr>
          <w:color w:val="002060"/>
          <w:szCs w:val="22"/>
          <w:lang w:val="en"/>
        </w:rPr>
        <w:t>giao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tiếp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tạo</w:t>
      </w:r>
      <w:proofErr w:type="spellEnd"/>
      <w:r w:rsidRPr="003E1D6F">
        <w:rPr>
          <w:color w:val="002060"/>
          <w:szCs w:val="22"/>
          <w:lang w:val="en"/>
        </w:rPr>
        <w:t xml:space="preserve"> ra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góp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phần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các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môi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trường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xã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hội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tiêu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cực</w:t>
      </w:r>
      <w:proofErr w:type="spellEnd"/>
      <w:r w:rsidRPr="003E1D6F">
        <w:rPr>
          <w:color w:val="002060"/>
          <w:szCs w:val="22"/>
          <w:lang w:val="en"/>
        </w:rPr>
        <w:t xml:space="preserve">. </w:t>
      </w:r>
      <w:proofErr w:type="spellStart"/>
      <w:r w:rsidRPr="003E1D6F">
        <w:rPr>
          <w:color w:val="002060"/>
          <w:szCs w:val="22"/>
          <w:lang w:val="en"/>
        </w:rPr>
        <w:t>Tất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cả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các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cộng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đồng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trường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cần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định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nghĩa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rõ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ràng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về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quấy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rối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phân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biệt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đối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xử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bạo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lực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trong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các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chính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sách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quy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trình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của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trường</w:t>
      </w:r>
      <w:proofErr w:type="spellEnd"/>
      <w:r w:rsidRPr="003E1D6F">
        <w:rPr>
          <w:color w:val="002060"/>
          <w:szCs w:val="22"/>
          <w:lang w:val="en"/>
        </w:rPr>
        <w:t>.</w:t>
      </w:r>
    </w:p>
    <w:p w14:paraId="35EE8012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</w:p>
    <w:p w14:paraId="32A25D0A" w14:textId="06D077CF" w:rsidR="00C6292A" w:rsidRPr="003E1D6F" w:rsidRDefault="003E1D6F" w:rsidP="003E1D6F">
      <w:pPr>
        <w:pStyle w:val="Heading1"/>
        <w:rPr>
          <w:rFonts w:ascii="Open Sans SemiBold" w:hAnsi="Open Sans SemiBold"/>
          <w:color w:val="002060"/>
          <w:sz w:val="50"/>
          <w:szCs w:val="50"/>
        </w:rPr>
      </w:pPr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t>Ăn</w:t>
      </w:r>
      <w:proofErr w:type="spellEnd"/>
      <w:r w:rsidRPr="003E1D6F">
        <w:rPr>
          <w:rFonts w:ascii="Open Sans SemiBold" w:hAnsi="Open Sans SemiBold"/>
          <w:color w:val="002060"/>
          <w:sz w:val="50"/>
          <w:szCs w:val="50"/>
        </w:rPr>
        <w:t xml:space="preserve"> </w:t>
      </w:r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t>hiếp</w:t>
      </w:r>
      <w:proofErr w:type="spellEnd"/>
    </w:p>
    <w:p w14:paraId="14492D81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Định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nghĩa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quốc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gia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về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dành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các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trường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học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Úc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nêu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rằng</w:t>
      </w:r>
      <w:proofErr w:type="spellEnd"/>
      <w:r w:rsidRPr="003E1D6F">
        <w:rPr>
          <w:color w:val="002060"/>
          <w:szCs w:val="22"/>
          <w:lang w:val="en"/>
        </w:rPr>
        <w:t>:</w:t>
      </w:r>
    </w:p>
    <w:p w14:paraId="5663733F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việc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liên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tục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lạm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dụng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sức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mạnh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trong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các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mối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quan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hệ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thông</w:t>
      </w:r>
      <w:proofErr w:type="spellEnd"/>
      <w:r w:rsidRPr="003E1D6F">
        <w:rPr>
          <w:color w:val="002060"/>
          <w:szCs w:val="22"/>
          <w:lang w:val="en"/>
        </w:rPr>
        <w:t xml:space="preserve"> qua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vi </w:t>
      </w:r>
      <w:proofErr w:type="spellStart"/>
      <w:r w:rsidRPr="003E1D6F">
        <w:rPr>
          <w:color w:val="002060"/>
          <w:szCs w:val="22"/>
          <w:lang w:val="en"/>
        </w:rPr>
        <w:t>nói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chất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xã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hội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được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lặp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lặp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lại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gây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tổn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thương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về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chất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>/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tâm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lý</w:t>
      </w:r>
      <w:proofErr w:type="spellEnd"/>
      <w:r w:rsidRPr="003E1D6F">
        <w:rPr>
          <w:color w:val="002060"/>
          <w:szCs w:val="22"/>
          <w:lang w:val="en"/>
        </w:rPr>
        <w:t xml:space="preserve">. </w:t>
      </w:r>
      <w:proofErr w:type="spellStart"/>
      <w:r w:rsidRPr="003E1D6F">
        <w:rPr>
          <w:color w:val="002060"/>
          <w:szCs w:val="22"/>
          <w:lang w:val="en"/>
        </w:rPr>
        <w:t>Nó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cá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nhân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nhóm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lạm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dụng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sức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mạnh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của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mình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đối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với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nhiều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khác</w:t>
      </w:r>
      <w:proofErr w:type="spellEnd"/>
      <w:r w:rsidRPr="003E1D6F">
        <w:rPr>
          <w:color w:val="002060"/>
          <w:szCs w:val="22"/>
          <w:lang w:val="en"/>
        </w:rPr>
        <w:t xml:space="preserve">. </w:t>
      </w: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xảy</w:t>
      </w:r>
      <w:proofErr w:type="spellEnd"/>
      <w:r w:rsidRPr="003E1D6F">
        <w:rPr>
          <w:color w:val="002060"/>
          <w:szCs w:val="22"/>
          <w:lang w:val="en"/>
        </w:rPr>
        <w:t xml:space="preserve"> ra </w:t>
      </w:r>
      <w:proofErr w:type="spellStart"/>
      <w:r w:rsidRPr="003E1D6F">
        <w:rPr>
          <w:color w:val="002060"/>
          <w:szCs w:val="22"/>
          <w:lang w:val="en"/>
        </w:rPr>
        <w:t>ngoài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trên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mạng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rõ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ràng</w:t>
      </w:r>
      <w:proofErr w:type="spellEnd"/>
      <w:r w:rsidRPr="003E1D6F">
        <w:rPr>
          <w:color w:val="002060"/>
          <w:szCs w:val="22"/>
          <w:lang w:val="en"/>
        </w:rPr>
        <w:t xml:space="preserve"> (</w:t>
      </w:r>
      <w:proofErr w:type="spellStart"/>
      <w:r w:rsidRPr="003E1D6F">
        <w:rPr>
          <w:color w:val="002060"/>
          <w:szCs w:val="22"/>
          <w:lang w:val="en"/>
        </w:rPr>
        <w:t>công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khai</w:t>
      </w:r>
      <w:proofErr w:type="spellEnd"/>
      <w:r w:rsidRPr="003E1D6F">
        <w:rPr>
          <w:color w:val="002060"/>
          <w:szCs w:val="22"/>
          <w:lang w:val="en"/>
        </w:rPr>
        <w:t xml:space="preserve">)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ẩn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giấu</w:t>
      </w:r>
      <w:proofErr w:type="spellEnd"/>
      <w:r w:rsidRPr="003E1D6F">
        <w:rPr>
          <w:color w:val="002060"/>
          <w:szCs w:val="22"/>
          <w:lang w:val="en"/>
        </w:rPr>
        <w:t xml:space="preserve"> (</w:t>
      </w:r>
      <w:proofErr w:type="spellStart"/>
      <w:r w:rsidRPr="003E1D6F">
        <w:rPr>
          <w:color w:val="002060"/>
          <w:szCs w:val="22"/>
          <w:lang w:val="en"/>
        </w:rPr>
        <w:t>che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giấu</w:t>
      </w:r>
      <w:proofErr w:type="spellEnd"/>
      <w:r w:rsidRPr="003E1D6F">
        <w:rPr>
          <w:color w:val="002060"/>
          <w:szCs w:val="22"/>
          <w:lang w:val="en"/>
        </w:rPr>
        <w:t>).</w:t>
      </w:r>
    </w:p>
    <w:p w14:paraId="4049195E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dù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dưới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bất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cứ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hình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thức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nào</w:t>
      </w:r>
      <w:proofErr w:type="spellEnd"/>
      <w:r w:rsidRPr="003E1D6F">
        <w:rPr>
          <w:color w:val="002060"/>
          <w:szCs w:val="22"/>
          <w:lang w:val="en"/>
        </w:rPr>
        <w:t xml:space="preserve"> hay </w:t>
      </w:r>
      <w:proofErr w:type="spellStart"/>
      <w:r w:rsidRPr="003E1D6F">
        <w:rPr>
          <w:color w:val="002060"/>
          <w:szCs w:val="22"/>
          <w:lang w:val="en"/>
        </w:rPr>
        <w:t>với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bất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cứ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lý</w:t>
      </w:r>
      <w:proofErr w:type="spellEnd"/>
      <w:r w:rsidRPr="003E1D6F">
        <w:rPr>
          <w:color w:val="002060"/>
          <w:szCs w:val="22"/>
          <w:lang w:val="en"/>
        </w:rPr>
        <w:t xml:space="preserve"> do </w:t>
      </w:r>
      <w:proofErr w:type="spellStart"/>
      <w:r w:rsidRPr="003E1D6F">
        <w:rPr>
          <w:color w:val="002060"/>
          <w:szCs w:val="22"/>
          <w:lang w:val="en"/>
        </w:rPr>
        <w:t>gì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đều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tác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hại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dài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đối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với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trong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cuộc</w:t>
      </w:r>
      <w:proofErr w:type="spellEnd"/>
      <w:r w:rsidRPr="003E1D6F">
        <w:rPr>
          <w:color w:val="002060"/>
          <w:szCs w:val="22"/>
          <w:lang w:val="en"/>
        </w:rPr>
        <w:t xml:space="preserve">, bao </w:t>
      </w:r>
      <w:proofErr w:type="spellStart"/>
      <w:r w:rsidRPr="003E1D6F">
        <w:rPr>
          <w:color w:val="002060"/>
          <w:szCs w:val="22"/>
          <w:lang w:val="en"/>
        </w:rPr>
        <w:t>gồm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cả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chứng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kiến</w:t>
      </w:r>
      <w:proofErr w:type="spellEnd"/>
      <w:r w:rsidRPr="003E1D6F">
        <w:rPr>
          <w:color w:val="002060"/>
          <w:szCs w:val="22"/>
          <w:lang w:val="en"/>
        </w:rPr>
        <w:t>.</w:t>
      </w:r>
    </w:p>
    <w:p w14:paraId="4F5F110D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xô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xát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mâu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thuẫn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đánh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nhau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xảy</w:t>
      </w:r>
      <w:proofErr w:type="spellEnd"/>
      <w:r w:rsidRPr="003E1D6F">
        <w:rPr>
          <w:color w:val="002060"/>
          <w:szCs w:val="22"/>
          <w:lang w:val="en"/>
        </w:rPr>
        <w:t xml:space="preserve"> ra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lần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giữa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ngang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nhau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dù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ngoài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trên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mạng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đều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không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được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định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nghĩa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>.</w:t>
      </w:r>
      <w:r w:rsidRPr="003E1D6F">
        <w:rPr>
          <w:color w:val="002060"/>
          <w:szCs w:val="22"/>
          <w:lang w:val="en"/>
        </w:rPr>
        <w:br/>
      </w:r>
    </w:p>
    <w:p w14:paraId="0D1DFAC4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vi </w:t>
      </w:r>
      <w:proofErr w:type="spellStart"/>
      <w:r w:rsidRPr="003E1D6F">
        <w:rPr>
          <w:color w:val="002060"/>
          <w:szCs w:val="22"/>
          <w:lang w:val="en"/>
        </w:rPr>
        <w:t>không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cấu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thành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 xml:space="preserve"> bao </w:t>
      </w:r>
      <w:proofErr w:type="spellStart"/>
      <w:r w:rsidRPr="003E1D6F">
        <w:rPr>
          <w:color w:val="002060"/>
          <w:szCs w:val="22"/>
          <w:lang w:val="en"/>
        </w:rPr>
        <w:t>gồm</w:t>
      </w:r>
      <w:proofErr w:type="spellEnd"/>
      <w:r w:rsidRPr="003E1D6F">
        <w:rPr>
          <w:color w:val="002060"/>
          <w:szCs w:val="22"/>
          <w:lang w:val="en"/>
        </w:rPr>
        <w:t>:</w:t>
      </w:r>
    </w:p>
    <w:p w14:paraId="5229D8EA" w14:textId="77777777" w:rsidR="003E1D6F" w:rsidRPr="003E1D6F" w:rsidRDefault="003E1D6F" w:rsidP="003E1D6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tranh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cãi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bất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đồng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giữa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hai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bên</w:t>
      </w:r>
      <w:proofErr w:type="spellEnd"/>
      <w:r w:rsidRPr="003E1D6F">
        <w:rPr>
          <w:color w:val="002060"/>
          <w:szCs w:val="22"/>
          <w:lang w:val="en"/>
        </w:rPr>
        <w:t xml:space="preserve"> (</w:t>
      </w:r>
      <w:proofErr w:type="spellStart"/>
      <w:r w:rsidRPr="003E1D6F">
        <w:rPr>
          <w:color w:val="002060"/>
          <w:szCs w:val="22"/>
          <w:lang w:val="en"/>
        </w:rPr>
        <w:t>trường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hợp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này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không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tồn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tại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sự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mất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cân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bằng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về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sức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mạnh</w:t>
      </w:r>
      <w:proofErr w:type="spellEnd"/>
      <w:r w:rsidRPr="003E1D6F">
        <w:rPr>
          <w:color w:val="002060"/>
          <w:szCs w:val="22"/>
          <w:lang w:val="en"/>
        </w:rPr>
        <w:t>)</w:t>
      </w:r>
    </w:p>
    <w:p w14:paraId="2A736D30" w14:textId="77777777" w:rsidR="003E1D6F" w:rsidRPr="003E1D6F" w:rsidRDefault="003E1D6F" w:rsidP="003E1D6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không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thích</w:t>
      </w:r>
      <w:proofErr w:type="spellEnd"/>
      <w:r w:rsidRPr="003E1D6F">
        <w:rPr>
          <w:color w:val="002060"/>
          <w:szCs w:val="22"/>
          <w:lang w:val="en"/>
        </w:rPr>
        <w:t xml:space="preserve"> ai </w:t>
      </w:r>
      <w:proofErr w:type="spellStart"/>
      <w:r w:rsidRPr="003E1D6F">
        <w:rPr>
          <w:color w:val="002060"/>
          <w:szCs w:val="22"/>
          <w:lang w:val="en"/>
        </w:rPr>
        <w:t>đó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động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đơn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lẻ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không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giao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tiếp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xã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hội</w:t>
      </w:r>
      <w:proofErr w:type="spellEnd"/>
    </w:p>
    <w:p w14:paraId="29309EA9" w14:textId="77777777" w:rsidR="003E1D6F" w:rsidRPr="003E1D6F" w:rsidRDefault="003E1D6F" w:rsidP="003E1D6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động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xấu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tính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ác</w:t>
      </w:r>
      <w:proofErr w:type="spellEnd"/>
      <w:r w:rsidRPr="003E1D6F">
        <w:rPr>
          <w:color w:val="002060"/>
          <w:szCs w:val="22"/>
          <w:lang w:val="en"/>
        </w:rPr>
        <w:t xml:space="preserve"> ý </w:t>
      </w:r>
      <w:proofErr w:type="spellStart"/>
      <w:r w:rsidRPr="003E1D6F">
        <w:rPr>
          <w:color w:val="002060"/>
          <w:szCs w:val="22"/>
          <w:lang w:val="en"/>
        </w:rPr>
        <w:t>chỉ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xảy</w:t>
      </w:r>
      <w:proofErr w:type="spellEnd"/>
      <w:r w:rsidRPr="003E1D6F">
        <w:rPr>
          <w:color w:val="002060"/>
          <w:szCs w:val="22"/>
          <w:lang w:val="en"/>
        </w:rPr>
        <w:t xml:space="preserve"> ra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lần</w:t>
      </w:r>
      <w:proofErr w:type="spellEnd"/>
    </w:p>
    <w:p w14:paraId="4943732A" w14:textId="77777777" w:rsidR="003E1D6F" w:rsidRPr="003E1D6F" w:rsidRDefault="003E1D6F" w:rsidP="003E1D6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trường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hợp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đơn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lẻ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về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chiến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đe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dọa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bạo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lực</w:t>
      </w:r>
      <w:proofErr w:type="spellEnd"/>
      <w:r w:rsidRPr="003E1D6F">
        <w:rPr>
          <w:color w:val="002060"/>
          <w:szCs w:val="22"/>
          <w:lang w:val="en"/>
        </w:rPr>
        <w:t>.</w:t>
      </w:r>
      <w:r w:rsidRPr="003E1D6F">
        <w:rPr>
          <w:color w:val="002060"/>
          <w:szCs w:val="22"/>
          <w:lang w:val="en"/>
        </w:rPr>
        <w:br/>
      </w:r>
    </w:p>
    <w:p w14:paraId="3BA5EDD2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Tuy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nhiên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xung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này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vẫn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cần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được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giải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quyết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chấm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dứt</w:t>
      </w:r>
      <w:proofErr w:type="spellEnd"/>
      <w:r w:rsidRPr="003E1D6F">
        <w:rPr>
          <w:color w:val="002060"/>
          <w:szCs w:val="22"/>
          <w:lang w:val="en"/>
        </w:rPr>
        <w:t>.</w:t>
      </w:r>
      <w:r w:rsidRPr="003E1D6F">
        <w:rPr>
          <w:color w:val="002060"/>
          <w:szCs w:val="22"/>
          <w:lang w:val="en"/>
        </w:rPr>
        <w:br/>
      </w:r>
      <w:r w:rsidRPr="003E1D6F">
        <w:rPr>
          <w:color w:val="002060"/>
          <w:szCs w:val="22"/>
          <w:lang w:val="en"/>
        </w:rPr>
        <w:br/>
      </w:r>
      <w:proofErr w:type="spellStart"/>
      <w:r w:rsidRPr="003E1D6F">
        <w:rPr>
          <w:color w:val="002060"/>
          <w:szCs w:val="22"/>
          <w:lang w:val="en"/>
        </w:rPr>
        <w:t>Tương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tự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như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vậy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không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phải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tất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cả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mọi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vấn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đề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xảy</w:t>
      </w:r>
      <w:proofErr w:type="spellEnd"/>
      <w:r w:rsidRPr="003E1D6F">
        <w:rPr>
          <w:color w:val="002060"/>
          <w:szCs w:val="22"/>
          <w:lang w:val="en"/>
        </w:rPr>
        <w:t xml:space="preserve"> ra </w:t>
      </w:r>
      <w:proofErr w:type="spellStart"/>
      <w:r w:rsidRPr="003E1D6F">
        <w:rPr>
          <w:color w:val="002060"/>
          <w:szCs w:val="22"/>
          <w:lang w:val="en"/>
        </w:rPr>
        <w:t>trên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mạng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đều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>. (</w:t>
      </w: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trên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mạng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đôi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được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gọi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cyberbullying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đề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cập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đến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việc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hiếp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được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thực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hiện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thông</w:t>
      </w:r>
      <w:proofErr w:type="spellEnd"/>
      <w:r w:rsidRPr="003E1D6F">
        <w:rPr>
          <w:color w:val="002060"/>
          <w:szCs w:val="22"/>
          <w:lang w:val="en"/>
        </w:rPr>
        <w:t xml:space="preserve"> qua </w:t>
      </w:r>
      <w:proofErr w:type="spellStart"/>
      <w:r w:rsidRPr="003E1D6F">
        <w:rPr>
          <w:color w:val="002060"/>
          <w:szCs w:val="22"/>
          <w:lang w:val="en"/>
        </w:rPr>
        <w:t>công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nghệ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thông</w:t>
      </w:r>
      <w:proofErr w:type="spellEnd"/>
      <w:r w:rsidRPr="003E1D6F">
        <w:rPr>
          <w:color w:val="002060"/>
          <w:szCs w:val="22"/>
          <w:lang w:val="en"/>
        </w:rPr>
        <w:t xml:space="preserve"> tin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truyền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thông</w:t>
      </w:r>
      <w:proofErr w:type="spellEnd"/>
      <w:r w:rsidRPr="003E1D6F">
        <w:rPr>
          <w:color w:val="002060"/>
          <w:szCs w:val="22"/>
          <w:lang w:val="en"/>
        </w:rPr>
        <w:t>.)</w:t>
      </w:r>
    </w:p>
    <w:p w14:paraId="315494C1" w14:textId="77777777" w:rsidR="003E1D6F" w:rsidRPr="003E1D6F" w:rsidRDefault="003E1D6F" w:rsidP="003E1D6F">
      <w:pPr>
        <w:pStyle w:val="Heading1"/>
        <w:rPr>
          <w:rFonts w:ascii="Open Sans SemiBold" w:hAnsi="Open Sans SemiBold"/>
          <w:color w:val="002060"/>
          <w:sz w:val="50"/>
          <w:szCs w:val="50"/>
        </w:rPr>
      </w:pPr>
      <w:bookmarkStart w:id="0" w:name="Harassment"/>
      <w:bookmarkEnd w:id="0"/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lastRenderedPageBreak/>
        <w:t>Quấy</w:t>
      </w:r>
      <w:proofErr w:type="spellEnd"/>
      <w:r w:rsidRPr="003E1D6F">
        <w:rPr>
          <w:rFonts w:ascii="Open Sans SemiBold" w:hAnsi="Open Sans SemiBold"/>
          <w:color w:val="002060"/>
          <w:sz w:val="50"/>
          <w:szCs w:val="50"/>
        </w:rPr>
        <w:t xml:space="preserve"> </w:t>
      </w:r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t>rối</w:t>
      </w:r>
      <w:proofErr w:type="spellEnd"/>
    </w:p>
    <w:p w14:paraId="14DB7799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Quấy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rối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vi </w:t>
      </w:r>
      <w:proofErr w:type="spellStart"/>
      <w:r w:rsidRPr="003E1D6F">
        <w:rPr>
          <w:color w:val="002060"/>
          <w:szCs w:val="22"/>
          <w:lang w:val="en"/>
        </w:rPr>
        <w:t>nhằm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nhóm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vì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tính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sau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của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họ</w:t>
      </w:r>
      <w:proofErr w:type="spellEnd"/>
      <w:r w:rsidRPr="003E1D6F">
        <w:rPr>
          <w:color w:val="002060"/>
          <w:szCs w:val="22"/>
          <w:lang w:val="en"/>
        </w:rPr>
        <w:t>:</w:t>
      </w:r>
    </w:p>
    <w:p w14:paraId="4287E6FF" w14:textId="77777777" w:rsidR="003E1D6F" w:rsidRPr="003E1D6F" w:rsidRDefault="003E1D6F" w:rsidP="003E1D6F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danh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tính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chủng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tộc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nguồn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gốc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văn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hóa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dân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tộc</w:t>
      </w:r>
      <w:proofErr w:type="spellEnd"/>
    </w:p>
    <w:p w14:paraId="72B5AA3D" w14:textId="77777777" w:rsidR="003E1D6F" w:rsidRPr="003E1D6F" w:rsidRDefault="003E1D6F" w:rsidP="003E1D6F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tôn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giáo</w:t>
      </w:r>
      <w:proofErr w:type="spellEnd"/>
    </w:p>
    <w:p w14:paraId="3E50CBB0" w14:textId="77777777" w:rsidR="003E1D6F" w:rsidRPr="003E1D6F" w:rsidRDefault="003E1D6F" w:rsidP="003E1D6F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điểm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chất</w:t>
      </w:r>
      <w:proofErr w:type="spellEnd"/>
    </w:p>
    <w:p w14:paraId="3CA2FD93" w14:textId="77777777" w:rsidR="003E1D6F" w:rsidRPr="003E1D6F" w:rsidRDefault="003E1D6F" w:rsidP="003E1D6F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giới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tính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</w:p>
    <w:p w14:paraId="53E6B3B0" w14:textId="77777777" w:rsidR="003E1D6F" w:rsidRPr="003E1D6F" w:rsidRDefault="003E1D6F" w:rsidP="003E1D6F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r w:rsidRPr="003E1D6F">
        <w:rPr>
          <w:color w:val="002060"/>
          <w:szCs w:val="22"/>
          <w:lang w:val="en"/>
        </w:rPr>
        <w:t xml:space="preserve">xu </w:t>
      </w:r>
      <w:proofErr w:type="spellStart"/>
      <w:r w:rsidRPr="003E1D6F">
        <w:rPr>
          <w:color w:val="002060"/>
          <w:szCs w:val="22"/>
          <w:lang w:val="en"/>
        </w:rPr>
        <w:t>hướng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tình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dục</w:t>
      </w:r>
      <w:proofErr w:type="spellEnd"/>
    </w:p>
    <w:p w14:paraId="5488451F" w14:textId="77777777" w:rsidR="003E1D6F" w:rsidRPr="003E1D6F" w:rsidRDefault="003E1D6F" w:rsidP="003E1D6F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tình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trạng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hôn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nhân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nuôi</w:t>
      </w:r>
      <w:proofErr w:type="spellEnd"/>
      <w:r w:rsidRPr="003E1D6F">
        <w:rPr>
          <w:color w:val="002060"/>
          <w:szCs w:val="22"/>
          <w:lang w:val="en"/>
        </w:rPr>
        <w:t xml:space="preserve"> con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kinh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tế</w:t>
      </w:r>
      <w:proofErr w:type="spellEnd"/>
    </w:p>
    <w:p w14:paraId="0AD09C78" w14:textId="77777777" w:rsidR="003E1D6F" w:rsidRPr="003E1D6F" w:rsidRDefault="003E1D6F" w:rsidP="003E1D6F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tuổi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tác</w:t>
      </w:r>
      <w:proofErr w:type="spellEnd"/>
    </w:p>
    <w:p w14:paraId="000F51C8" w14:textId="77777777" w:rsidR="003E1D6F" w:rsidRPr="003E1D6F" w:rsidRDefault="003E1D6F" w:rsidP="003E1D6F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năng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lực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khuyết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tật</w:t>
      </w:r>
      <w:proofErr w:type="spellEnd"/>
      <w:r w:rsidRPr="003E1D6F">
        <w:rPr>
          <w:color w:val="002060"/>
          <w:szCs w:val="22"/>
          <w:lang w:val="en"/>
        </w:rPr>
        <w:t>.</w:t>
      </w:r>
    </w:p>
    <w:p w14:paraId="66C1233F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Nó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xúc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phạm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làm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nhục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đe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dọa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tạo</w:t>
      </w:r>
      <w:proofErr w:type="spellEnd"/>
      <w:r w:rsidRPr="003E1D6F">
        <w:rPr>
          <w:color w:val="002060"/>
          <w:szCs w:val="22"/>
          <w:lang w:val="en"/>
        </w:rPr>
        <w:t xml:space="preserve"> ra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môi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trường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thù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địch</w:t>
      </w:r>
      <w:proofErr w:type="spellEnd"/>
      <w:r w:rsidRPr="003E1D6F">
        <w:rPr>
          <w:color w:val="002060"/>
          <w:szCs w:val="22"/>
          <w:lang w:val="en"/>
        </w:rPr>
        <w:t xml:space="preserve">. </w:t>
      </w:r>
      <w:proofErr w:type="spellStart"/>
      <w:r w:rsidRPr="003E1D6F">
        <w:rPr>
          <w:color w:val="002060"/>
          <w:szCs w:val="22"/>
          <w:lang w:val="en"/>
        </w:rPr>
        <w:t>Nó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>:</w:t>
      </w:r>
    </w:p>
    <w:p w14:paraId="1A720D92" w14:textId="77777777" w:rsidR="003E1D6F" w:rsidRPr="003E1D6F" w:rsidRDefault="003E1D6F" w:rsidP="003E1D6F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kiểu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vi </w:t>
      </w:r>
      <w:proofErr w:type="spellStart"/>
      <w:r w:rsidRPr="003E1D6F">
        <w:rPr>
          <w:color w:val="002060"/>
          <w:szCs w:val="22"/>
          <w:lang w:val="en"/>
        </w:rPr>
        <w:t>liên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tục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động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đơn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lẻ</w:t>
      </w:r>
      <w:proofErr w:type="spellEnd"/>
    </w:p>
    <w:p w14:paraId="247F4773" w14:textId="77777777" w:rsidR="003E1D6F" w:rsidRPr="003E1D6F" w:rsidRDefault="003E1D6F" w:rsidP="003E1D6F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ngẫu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nhiên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chủ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đích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nhằm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cùng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nhiều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</w:p>
    <w:p w14:paraId="41E4BD1A" w14:textId="77777777" w:rsidR="003E1D6F" w:rsidRPr="003E1D6F" w:rsidRDefault="003E1D6F" w:rsidP="003E1D6F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cố</w:t>
      </w:r>
      <w:proofErr w:type="spellEnd"/>
      <w:r w:rsidRPr="003E1D6F">
        <w:rPr>
          <w:color w:val="002060"/>
          <w:szCs w:val="22"/>
          <w:lang w:val="en"/>
        </w:rPr>
        <w:t xml:space="preserve"> ý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vô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tình</w:t>
      </w:r>
      <w:proofErr w:type="spellEnd"/>
      <w:r w:rsidRPr="003E1D6F">
        <w:rPr>
          <w:color w:val="002060"/>
          <w:szCs w:val="22"/>
          <w:lang w:val="en"/>
        </w:rPr>
        <w:t>.</w:t>
      </w:r>
    </w:p>
    <w:p w14:paraId="7F375C5E" w14:textId="77777777" w:rsidR="003E1D6F" w:rsidRPr="003E1D6F" w:rsidRDefault="003E1D6F" w:rsidP="003E1D6F">
      <w:pPr>
        <w:pStyle w:val="Heading1"/>
        <w:rPr>
          <w:rFonts w:ascii="Open Sans SemiBold" w:hAnsi="Open Sans SemiBold"/>
          <w:color w:val="002060"/>
          <w:sz w:val="50"/>
          <w:szCs w:val="50"/>
        </w:rPr>
      </w:pPr>
      <w:bookmarkStart w:id="1" w:name="Discrimination"/>
      <w:bookmarkEnd w:id="1"/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t>Phân</w:t>
      </w:r>
      <w:proofErr w:type="spellEnd"/>
      <w:r w:rsidRPr="003E1D6F">
        <w:rPr>
          <w:rFonts w:ascii="Open Sans SemiBold" w:hAnsi="Open Sans SemiBold"/>
          <w:color w:val="002060"/>
          <w:sz w:val="50"/>
          <w:szCs w:val="50"/>
        </w:rPr>
        <w:t xml:space="preserve"> </w:t>
      </w:r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t>biệt</w:t>
      </w:r>
      <w:proofErr w:type="spellEnd"/>
      <w:r w:rsidRPr="003E1D6F">
        <w:rPr>
          <w:rFonts w:ascii="Open Sans SemiBold" w:hAnsi="Open Sans SemiBold"/>
          <w:color w:val="002060"/>
          <w:sz w:val="50"/>
          <w:szCs w:val="50"/>
        </w:rPr>
        <w:t xml:space="preserve"> </w:t>
      </w:r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t>đối</w:t>
      </w:r>
      <w:proofErr w:type="spellEnd"/>
      <w:r w:rsidRPr="003E1D6F">
        <w:rPr>
          <w:rFonts w:ascii="Open Sans SemiBold" w:hAnsi="Open Sans SemiBold"/>
          <w:color w:val="002060"/>
          <w:sz w:val="50"/>
          <w:szCs w:val="50"/>
        </w:rPr>
        <w:t xml:space="preserve"> </w:t>
      </w:r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t>xử</w:t>
      </w:r>
      <w:proofErr w:type="spellEnd"/>
    </w:p>
    <w:p w14:paraId="09DF7EC2" w14:textId="77777777" w:rsidR="003E1D6F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Phân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biệt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đối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xử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xảy</w:t>
      </w:r>
      <w:proofErr w:type="spellEnd"/>
      <w:r w:rsidRPr="003E1D6F">
        <w:rPr>
          <w:color w:val="002060"/>
          <w:szCs w:val="22"/>
          <w:lang w:val="en"/>
        </w:rPr>
        <w:t xml:space="preserve"> ra </w:t>
      </w:r>
      <w:proofErr w:type="spellStart"/>
      <w:r w:rsidRPr="003E1D6F">
        <w:rPr>
          <w:color w:val="002060"/>
          <w:szCs w:val="22"/>
          <w:lang w:val="en"/>
        </w:rPr>
        <w:t>khi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bị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đối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xử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kém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ưu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đãi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hơn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khác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bởi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vì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tính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sau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của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họ</w:t>
      </w:r>
      <w:proofErr w:type="spellEnd"/>
      <w:r w:rsidRPr="003E1D6F">
        <w:rPr>
          <w:color w:val="002060"/>
          <w:szCs w:val="22"/>
          <w:lang w:val="en"/>
        </w:rPr>
        <w:t>:</w:t>
      </w:r>
    </w:p>
    <w:p w14:paraId="5E0E8EA6" w14:textId="77777777" w:rsidR="003E1D6F" w:rsidRPr="003E1D6F" w:rsidRDefault="003E1D6F" w:rsidP="003E1D6F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pacing w:val="-1"/>
        </w:rPr>
        <w:t>danh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tính</w:t>
      </w:r>
      <w:proofErr w:type="spellEnd"/>
      <w:r w:rsidRPr="003E1D6F">
        <w:rPr>
          <w:color w:val="002060"/>
          <w:spacing w:val="-1"/>
        </w:rPr>
        <w:t xml:space="preserve">, </w:t>
      </w:r>
      <w:proofErr w:type="spellStart"/>
      <w:r w:rsidRPr="003E1D6F">
        <w:rPr>
          <w:color w:val="002060"/>
          <w:spacing w:val="-1"/>
        </w:rPr>
        <w:t>chủng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tộc</w:t>
      </w:r>
      <w:proofErr w:type="spellEnd"/>
      <w:r w:rsidRPr="003E1D6F">
        <w:rPr>
          <w:color w:val="002060"/>
          <w:spacing w:val="-1"/>
        </w:rPr>
        <w:t xml:space="preserve">, </w:t>
      </w:r>
      <w:proofErr w:type="spellStart"/>
      <w:r w:rsidRPr="003E1D6F">
        <w:rPr>
          <w:color w:val="002060"/>
          <w:spacing w:val="-1"/>
        </w:rPr>
        <w:t>nguồn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gốc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văn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hóa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hoặc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dân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tộc</w:t>
      </w:r>
      <w:proofErr w:type="spellEnd"/>
    </w:p>
    <w:p w14:paraId="6F835CA7" w14:textId="77777777" w:rsidR="003E1D6F" w:rsidRPr="003E1D6F" w:rsidRDefault="003E1D6F" w:rsidP="003E1D6F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</w:rPr>
        <w:t>tôn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giáo</w:t>
      </w:r>
      <w:proofErr w:type="spellEnd"/>
    </w:p>
    <w:p w14:paraId="1D867785" w14:textId="77777777" w:rsidR="003E1D6F" w:rsidRPr="003E1D6F" w:rsidRDefault="003E1D6F" w:rsidP="003E1D6F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pacing w:val="-1"/>
        </w:rPr>
        <w:t>những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đặt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điểm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thể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chất</w:t>
      </w:r>
      <w:proofErr w:type="spellEnd"/>
    </w:p>
    <w:p w14:paraId="4AA3DEBD" w14:textId="77777777" w:rsidR="003E1D6F" w:rsidRPr="003E1D6F" w:rsidRDefault="003E1D6F" w:rsidP="003E1D6F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pacing w:val="2"/>
        </w:rPr>
        <w:t>giới</w:t>
      </w:r>
      <w:proofErr w:type="spellEnd"/>
      <w:r w:rsidRPr="003E1D6F">
        <w:rPr>
          <w:color w:val="002060"/>
          <w:spacing w:val="2"/>
        </w:rPr>
        <w:t xml:space="preserve"> </w:t>
      </w:r>
      <w:proofErr w:type="spellStart"/>
      <w:r w:rsidRPr="003E1D6F">
        <w:rPr>
          <w:color w:val="002060"/>
          <w:spacing w:val="2"/>
        </w:rPr>
        <w:t>tính</w:t>
      </w:r>
      <w:proofErr w:type="spellEnd"/>
    </w:p>
    <w:p w14:paraId="0BA4E60F" w14:textId="77777777" w:rsidR="003E1D6F" w:rsidRPr="003E1D6F" w:rsidRDefault="003E1D6F" w:rsidP="003E1D6F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r w:rsidRPr="003E1D6F">
        <w:rPr>
          <w:color w:val="002060"/>
        </w:rPr>
        <w:t xml:space="preserve">xu </w:t>
      </w:r>
      <w:proofErr w:type="spellStart"/>
      <w:r w:rsidRPr="003E1D6F">
        <w:rPr>
          <w:color w:val="002060"/>
        </w:rPr>
        <w:t>hướng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tình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dục</w:t>
      </w:r>
      <w:proofErr w:type="spellEnd"/>
    </w:p>
    <w:p w14:paraId="501A886B" w14:textId="77777777" w:rsidR="003E1D6F" w:rsidRPr="003E1D6F" w:rsidRDefault="003E1D6F" w:rsidP="003E1D6F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</w:rPr>
        <w:t>tình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trạng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hôn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nhân</w:t>
      </w:r>
      <w:proofErr w:type="spellEnd"/>
      <w:r w:rsidRPr="003E1D6F">
        <w:rPr>
          <w:color w:val="002060"/>
        </w:rPr>
        <w:t xml:space="preserve">, </w:t>
      </w:r>
      <w:proofErr w:type="spellStart"/>
      <w:r w:rsidRPr="003E1D6F">
        <w:rPr>
          <w:color w:val="002060"/>
        </w:rPr>
        <w:t>nuôi</w:t>
      </w:r>
      <w:proofErr w:type="spellEnd"/>
      <w:r w:rsidRPr="003E1D6F">
        <w:rPr>
          <w:color w:val="002060"/>
        </w:rPr>
        <w:t xml:space="preserve"> con </w:t>
      </w:r>
      <w:proofErr w:type="spellStart"/>
      <w:r w:rsidRPr="003E1D6F">
        <w:rPr>
          <w:color w:val="002060"/>
        </w:rPr>
        <w:t>hoặc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kinh</w:t>
      </w:r>
      <w:proofErr w:type="spellEnd"/>
      <w:r w:rsidRPr="003E1D6F">
        <w:rPr>
          <w:color w:val="002060"/>
        </w:rPr>
        <w:t xml:space="preserve"> </w:t>
      </w:r>
      <w:proofErr w:type="spellStart"/>
      <w:r w:rsidRPr="003E1D6F">
        <w:rPr>
          <w:color w:val="002060"/>
        </w:rPr>
        <w:t>tế</w:t>
      </w:r>
      <w:proofErr w:type="spellEnd"/>
    </w:p>
    <w:p w14:paraId="24F048D7" w14:textId="77777777" w:rsidR="003E1D6F" w:rsidRPr="003E1D6F" w:rsidRDefault="003E1D6F" w:rsidP="003E1D6F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pacing w:val="-1"/>
        </w:rPr>
        <w:t>tuổi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tác</w:t>
      </w:r>
      <w:proofErr w:type="spellEnd"/>
    </w:p>
    <w:p w14:paraId="31271D06" w14:textId="77777777" w:rsidR="003E1D6F" w:rsidRPr="003E1D6F" w:rsidRDefault="003E1D6F" w:rsidP="003E1D6F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pacing w:val="-1"/>
        </w:rPr>
        <w:t>năng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lực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hoặc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khuyết</w:t>
      </w:r>
      <w:proofErr w:type="spellEnd"/>
      <w:r w:rsidRPr="003E1D6F">
        <w:rPr>
          <w:color w:val="002060"/>
          <w:spacing w:val="-1"/>
        </w:rPr>
        <w:t xml:space="preserve"> </w:t>
      </w:r>
      <w:proofErr w:type="spellStart"/>
      <w:r w:rsidRPr="003E1D6F">
        <w:rPr>
          <w:color w:val="002060"/>
          <w:spacing w:val="-1"/>
        </w:rPr>
        <w:t>tật</w:t>
      </w:r>
      <w:proofErr w:type="spellEnd"/>
      <w:r w:rsidRPr="003E1D6F">
        <w:rPr>
          <w:color w:val="002060"/>
        </w:rPr>
        <w:t>.</w:t>
      </w:r>
    </w:p>
    <w:p w14:paraId="44913C81" w14:textId="77777777" w:rsidR="003E1D6F" w:rsidRPr="003E1D6F" w:rsidRDefault="003E1D6F" w:rsidP="003E1D6F">
      <w:pPr>
        <w:pStyle w:val="Heading1"/>
        <w:rPr>
          <w:rFonts w:ascii="Open Sans SemiBold" w:hAnsi="Open Sans SemiBold"/>
          <w:color w:val="002060"/>
          <w:sz w:val="50"/>
          <w:szCs w:val="50"/>
        </w:rPr>
      </w:pPr>
      <w:bookmarkStart w:id="2" w:name="Violence"/>
      <w:bookmarkEnd w:id="2"/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t>Bạo</w:t>
      </w:r>
      <w:proofErr w:type="spellEnd"/>
      <w:r w:rsidRPr="003E1D6F">
        <w:rPr>
          <w:rFonts w:ascii="Open Sans SemiBold" w:hAnsi="Open Sans SemiBold"/>
          <w:color w:val="002060"/>
          <w:sz w:val="50"/>
          <w:szCs w:val="50"/>
        </w:rPr>
        <w:t xml:space="preserve"> </w:t>
      </w:r>
      <w:proofErr w:type="spellStart"/>
      <w:r w:rsidRPr="003E1D6F">
        <w:rPr>
          <w:rFonts w:ascii="Open Sans SemiBold" w:hAnsi="Open Sans SemiBold"/>
          <w:color w:val="002060"/>
          <w:sz w:val="50"/>
          <w:szCs w:val="50"/>
        </w:rPr>
        <w:t>lực</w:t>
      </w:r>
      <w:proofErr w:type="spellEnd"/>
    </w:p>
    <w:p w14:paraId="17073749" w14:textId="315531EB" w:rsidR="000D4318" w:rsidRPr="003E1D6F" w:rsidRDefault="003E1D6F" w:rsidP="003E1D6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002060"/>
          <w:szCs w:val="22"/>
          <w:lang w:val="en"/>
        </w:rPr>
      </w:pPr>
      <w:proofErr w:type="spellStart"/>
      <w:r w:rsidRPr="003E1D6F">
        <w:rPr>
          <w:color w:val="002060"/>
          <w:szCs w:val="22"/>
          <w:lang w:val="en"/>
        </w:rPr>
        <w:t>Bạo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lực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việc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cố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tình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sử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dụng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lực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sức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mạnh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đe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dọa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thật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chống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lại</w:t>
      </w:r>
      <w:proofErr w:type="spellEnd"/>
      <w:r w:rsidRPr="003E1D6F">
        <w:rPr>
          <w:color w:val="002060"/>
          <w:szCs w:val="22"/>
          <w:lang w:val="en"/>
        </w:rPr>
        <w:t xml:space="preserve"> (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) </w:t>
      </w:r>
      <w:proofErr w:type="spellStart"/>
      <w:r w:rsidRPr="003E1D6F">
        <w:rPr>
          <w:color w:val="002060"/>
          <w:szCs w:val="22"/>
          <w:lang w:val="en"/>
        </w:rPr>
        <w:t>người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khác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dẫn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đến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tổn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thương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tâm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lý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thương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tật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trong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số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trường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hợp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tử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vong</w:t>
      </w:r>
      <w:proofErr w:type="spellEnd"/>
      <w:r w:rsidRPr="003E1D6F">
        <w:rPr>
          <w:color w:val="002060"/>
          <w:szCs w:val="22"/>
          <w:lang w:val="en"/>
        </w:rPr>
        <w:t xml:space="preserve">. </w:t>
      </w:r>
      <w:proofErr w:type="spellStart"/>
      <w:r w:rsidRPr="003E1D6F">
        <w:rPr>
          <w:color w:val="002060"/>
          <w:szCs w:val="22"/>
          <w:lang w:val="en"/>
        </w:rPr>
        <w:t>Nó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động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bị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kích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động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không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bị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kích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động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sự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cố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đơn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lẻ</w:t>
      </w:r>
      <w:proofErr w:type="spellEnd"/>
      <w:r w:rsidRPr="003E1D6F">
        <w:rPr>
          <w:color w:val="002060"/>
          <w:szCs w:val="22"/>
          <w:lang w:val="en"/>
        </w:rPr>
        <w:t xml:space="preserve">,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hành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động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ngẫu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nhiên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hoặc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có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thể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diễn</w:t>
      </w:r>
      <w:proofErr w:type="spellEnd"/>
      <w:r w:rsidRPr="003E1D6F">
        <w:rPr>
          <w:color w:val="002060"/>
          <w:szCs w:val="22"/>
          <w:lang w:val="en"/>
        </w:rPr>
        <w:t xml:space="preserve"> ra </w:t>
      </w:r>
      <w:proofErr w:type="spellStart"/>
      <w:r w:rsidRPr="003E1D6F">
        <w:rPr>
          <w:color w:val="002060"/>
          <w:szCs w:val="22"/>
          <w:lang w:val="en"/>
        </w:rPr>
        <w:t>trong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một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thời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gian</w:t>
      </w:r>
      <w:proofErr w:type="spellEnd"/>
      <w:r w:rsidRPr="003E1D6F">
        <w:rPr>
          <w:color w:val="002060"/>
          <w:szCs w:val="22"/>
          <w:lang w:val="en"/>
        </w:rPr>
        <w:t>.</w:t>
      </w:r>
      <w:r w:rsidRPr="003E1D6F">
        <w:rPr>
          <w:color w:val="002060"/>
          <w:szCs w:val="22"/>
          <w:lang w:val="en"/>
        </w:rPr>
        <w:br/>
      </w:r>
      <w:r>
        <w:rPr>
          <w:color w:val="002060"/>
          <w:szCs w:val="22"/>
          <w:lang w:val="en"/>
        </w:rPr>
        <w:br/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định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nghĩa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này</w:t>
      </w:r>
      <w:proofErr w:type="spellEnd"/>
      <w:r w:rsidRPr="003E1D6F">
        <w:rPr>
          <w:color w:val="002060"/>
          <w:szCs w:val="22"/>
          <w:lang w:val="en"/>
        </w:rPr>
        <w:t xml:space="preserve"> bao </w:t>
      </w:r>
      <w:proofErr w:type="spellStart"/>
      <w:r w:rsidRPr="003E1D6F">
        <w:rPr>
          <w:color w:val="002060"/>
          <w:szCs w:val="22"/>
          <w:lang w:val="en"/>
        </w:rPr>
        <w:t>gồm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những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đặc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tính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chủ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yếu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và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được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lấy</w:t>
      </w:r>
      <w:proofErr w:type="spellEnd"/>
      <w:r w:rsidRPr="003E1D6F">
        <w:rPr>
          <w:color w:val="002060"/>
          <w:szCs w:val="22"/>
          <w:lang w:val="en"/>
        </w:rPr>
        <w:t xml:space="preserve"> </w:t>
      </w:r>
      <w:proofErr w:type="spellStart"/>
      <w:r w:rsidRPr="003E1D6F">
        <w:rPr>
          <w:color w:val="002060"/>
          <w:szCs w:val="22"/>
          <w:lang w:val="en"/>
        </w:rPr>
        <w:t>từ</w:t>
      </w:r>
      <w:proofErr w:type="spellEnd"/>
      <w:r w:rsidRPr="003E1D6F">
        <w:rPr>
          <w:color w:val="002060"/>
          <w:szCs w:val="22"/>
          <w:lang w:val="en"/>
        </w:rPr>
        <w:t xml:space="preserve"> Student Wellbeing Hub </w:t>
      </w:r>
      <w:hyperlink r:id="rId12" w:history="1">
        <w:r w:rsidRPr="00A217A3">
          <w:rPr>
            <w:rStyle w:val="Hyperlink"/>
            <w:rFonts w:eastAsiaTheme="majorEastAsia"/>
            <w:szCs w:val="22"/>
            <w:lang w:val="en"/>
          </w:rPr>
          <w:t>https://studentwellbeinghub.edu.au/glossary#/</w:t>
        </w:r>
      </w:hyperlink>
      <w:r>
        <w:rPr>
          <w:color w:val="333333"/>
          <w:szCs w:val="22"/>
          <w:lang w:val="en"/>
        </w:rPr>
        <w:t xml:space="preserve">  </w:t>
      </w:r>
    </w:p>
    <w:sectPr w:rsidR="000D4318" w:rsidRPr="003E1D6F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B955" w14:textId="77777777" w:rsidR="00EF24DC" w:rsidRDefault="00EF24DC" w:rsidP="002B7185">
      <w:r>
        <w:pict w14:anchorId="1DBB341C">
          <v:rect id="_x0000_i1027" style="width:0;height:1.5pt" o:hralign="center" o:hrstd="t" o:hr="t" fillcolor="#a0a0a0" stroked="f"/>
        </w:pict>
      </w:r>
    </w:p>
    <w:p w14:paraId="5DF9AB0C" w14:textId="77777777" w:rsidR="00EF24DC" w:rsidRDefault="00EF24DC" w:rsidP="002B7185"/>
  </w:endnote>
  <w:endnote w:type="continuationSeparator" w:id="0">
    <w:p w14:paraId="50B80003" w14:textId="77777777" w:rsidR="00EF24DC" w:rsidRDefault="00EF24DC" w:rsidP="002B7185">
      <w:r>
        <w:pict w14:anchorId="31CAD7F6">
          <v:rect id="_x0000_i1028" style="width:0;height:1.5pt" o:hralign="center" o:hrstd="t" o:hr="t" fillcolor="#a0a0a0" stroked="f"/>
        </w:pict>
      </w:r>
    </w:p>
    <w:p w14:paraId="3DE55DCA" w14:textId="77777777" w:rsidR="00EF24DC" w:rsidRDefault="00EF24DC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369B" w14:textId="77777777" w:rsidR="00EF24DC" w:rsidRPr="00026DC2" w:rsidRDefault="00EF24DC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63878AB4" w14:textId="77777777" w:rsidR="00EF24DC" w:rsidRDefault="00EF24DC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0FB39885" w14:textId="77777777" w:rsidR="00EF24DC" w:rsidRDefault="00EF24DC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9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0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1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2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30"/>
  </w:num>
  <w:num w:numId="11">
    <w:abstractNumId w:val="26"/>
  </w:num>
  <w:num w:numId="12">
    <w:abstractNumId w:val="18"/>
  </w:num>
  <w:num w:numId="13">
    <w:abstractNumId w:val="24"/>
  </w:num>
  <w:num w:numId="1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1D6F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383B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06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4DC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1FD439EA-02DF-4948-9C72-3DD4EE0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wellbeinghub.edu.au/glossary#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2023-08-03T06:34:50+00:00</PPModeratedDate>
    <PPLastReviewedDate xmlns="b70dd679-76a0-4ce0-858d-24cdf2777c25">2023-08-03T06:34:50+00:00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A48105034C84EAB14E5912D7A8FD7" ma:contentTypeVersion="0" ma:contentTypeDescription="Create a new document." ma:contentTypeScope="" ma:versionID="eb5e3038a4a876305fa5a7ef3db04e70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4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9AC9A6-24C9-453B-9DBD-325FE1CD4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Định nghĩa về ăn hiếp, quấy rối, phân biệt đối xử và bạo lực – Fact sheet: Definitions of bullying, harassment and discrimination</dc:title>
  <dc:subject>Định nghĩa về ăn hiếp, quấy rối, phân biệt đối xử và bạo lực</dc:subject>
  <dc:creator>Australian Education Authorities / The State of Queensland</dc:creator>
  <cp:keywords/>
  <dc:description/>
  <cp:revision>3</cp:revision>
  <cp:lastPrinted>2023-05-17T13:54:00Z</cp:lastPrinted>
  <dcterms:created xsi:type="dcterms:W3CDTF">2023-07-06T00:42:00Z</dcterms:created>
  <dcterms:modified xsi:type="dcterms:W3CDTF">2023-07-06T00:44:00Z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0x01010006CA48105034C84EAB14E5912D7A8FD7</vt:lpwstr>
  </property>
  <property fmtid="{D5CDD505-2E9C-101B-9397-08002B2CF9AE}" pid="3" name="MediaServiceImageTags">
    <vt:lpwstr/>
  </property>
</Properties>
</file>