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D065" w14:textId="77777777" w:rsidR="00C966A4" w:rsidRPr="009B4C4C" w:rsidRDefault="00C966A4" w:rsidP="00C966A4">
      <w:pPr>
        <w:pStyle w:val="Documenttitle"/>
        <w:ind w:left="-142" w:right="-205"/>
        <w:rPr>
          <w:rFonts w:asciiTheme="majorHAnsi" w:hAnsiTheme="majorHAnsi" w:cstheme="majorHAnsi"/>
          <w:color w:val="151547" w:themeColor="text2"/>
          <w:sz w:val="70"/>
          <w:szCs w:val="70"/>
          <w:lang w:eastAsia="zh-CN"/>
        </w:rPr>
      </w:pPr>
      <w:r w:rsidRPr="009B4C4C">
        <w:rPr>
          <w:rFonts w:asciiTheme="majorHAnsi" w:hAnsiTheme="majorHAnsi" w:cstheme="majorHAnsi"/>
          <w:color w:val="151547" w:themeColor="text2"/>
          <w:sz w:val="70"/>
          <w:szCs w:val="70"/>
          <w:lang w:eastAsia="zh-CN"/>
        </w:rPr>
        <w:t>欺凌的类型</w:t>
      </w:r>
    </w:p>
    <w:p w14:paraId="198B8FCB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欺凌通常根据涉及行为的类型描述，所以我们会说口头、社会和身体欺凌。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1A180F01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欺凌有时也通过发生的地点或造成的伤害类型分类。这些词语可以单独使用，也可结合使用。这会令人困惑！以下列出描述欺凌最常见的方式。</w:t>
      </w:r>
    </w:p>
    <w:p w14:paraId="28044BF1" w14:textId="77777777" w:rsidR="009B4C4C" w:rsidRPr="009B4C4C" w:rsidRDefault="009B4C4C" w:rsidP="009B4C4C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行为类型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——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口头、社会和身体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</w:p>
    <w:p w14:paraId="47E22754" w14:textId="77777777" w:rsidR="009B4C4C" w:rsidRPr="004A2727" w:rsidRDefault="009B4C4C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欺凌行为有三种类型：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4A0BA5FF" w14:textId="77777777" w:rsidR="009B4C4C" w:rsidRPr="004A2727" w:rsidRDefault="009B4C4C" w:rsidP="009B4C4C">
      <w:pPr>
        <w:numPr>
          <w:ilvl w:val="0"/>
          <w:numId w:val="18"/>
        </w:numPr>
        <w:tabs>
          <w:tab w:val="left" w:pos="142"/>
        </w:tabs>
        <w:autoSpaceDN w:val="0"/>
        <w:spacing w:before="100" w:beforeAutospacing="1" w:after="100" w:afterAutospacing="1" w:line="240" w:lineRule="auto"/>
        <w:ind w:left="142" w:right="-205" w:hanging="28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口头欺凌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，包括针对别人的身体特征（例如体重或身高）或其它特点（包括种族、性取向、文化或宗教）进行谩骂或侮辱。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3BEBF15E" w14:textId="77777777" w:rsidR="009B4C4C" w:rsidRPr="004A2727" w:rsidRDefault="009B4C4C" w:rsidP="009B4C4C">
      <w:pPr>
        <w:numPr>
          <w:ilvl w:val="0"/>
          <w:numId w:val="18"/>
        </w:numPr>
        <w:tabs>
          <w:tab w:val="left" w:pos="142"/>
        </w:tabs>
        <w:autoSpaceDN w:val="0"/>
        <w:spacing w:before="100" w:beforeAutospacing="1" w:after="100" w:afterAutospacing="1" w:line="240" w:lineRule="auto"/>
        <w:ind w:left="851" w:right="-205" w:hanging="993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身体欺凌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，包括打人或以其它方式伤害别人，推搡或恐吓别人，或损坏或偷窃别人的东西。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659772CC" w14:textId="77777777" w:rsidR="009B4C4C" w:rsidRPr="004A2727" w:rsidRDefault="009B4C4C" w:rsidP="009B4C4C">
      <w:pPr>
        <w:numPr>
          <w:ilvl w:val="0"/>
          <w:numId w:val="18"/>
        </w:numPr>
        <w:tabs>
          <w:tab w:val="left" w:pos="142"/>
        </w:tabs>
        <w:autoSpaceDN w:val="0"/>
        <w:spacing w:before="100" w:beforeAutospacing="1" w:after="100" w:afterAutospacing="1" w:line="240" w:lineRule="auto"/>
        <w:ind w:left="851" w:right="-205" w:hanging="993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社会欺凌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，包括不断排挤别人，或共享对别人有害的信息或图像。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7E1BD92B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如果这些行为只发生一次，或者是平等双方之间的冲突（无论多么不当），就不是欺凌。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0D673764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口头、身体和社会欺凌可以当面发生或在网上发生，可以是直接的或间接的，也可以是公然的或隐蔽的。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4BC4B90A" w14:textId="77777777" w:rsidR="009B4C4C" w:rsidRPr="009B4C4C" w:rsidRDefault="009B4C4C" w:rsidP="009B4C4C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环境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——</w:t>
      </w: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当面和网上</w:t>
      </w:r>
    </w:p>
    <w:p w14:paraId="54FB99EF" w14:textId="77777777" w:rsidR="009B4C4C" w:rsidRPr="004A2727" w:rsidRDefault="009B4C4C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欺凌可以当面发生或在网上发生。网上欺凌有时称为网络欺凌。口头、身体和社会欺凌可以当面发生。口头和社会欺凌可以在网上发生，身体欺凌的威胁也一样。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534D55D7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网上环境的特点为学生、父母和照顾者及教师造成了额外的担忧。例如，在网上欺凌别人有可能被许多人看见或听见。研究显示，遭受网上欺凌的儿童经常也遭受当面欺凌。这意味着，有效处理网上欺凌需要也审视其它情况。</w:t>
      </w:r>
    </w:p>
    <w:p w14:paraId="58E30826" w14:textId="77777777" w:rsidR="009B4C4C" w:rsidRPr="009B4C4C" w:rsidRDefault="009B4C4C" w:rsidP="009B4C4C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方式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——</w:t>
      </w: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直接和间接</w:t>
      </w:r>
    </w:p>
    <w:p w14:paraId="18BC7AFD" w14:textId="77777777" w:rsidR="009B4C4C" w:rsidRPr="004A2727" w:rsidRDefault="009B4C4C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直接欺凌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在当事者之间发生，而间接欺凌则涉及他人，例如转述侮辱或散步谣言。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11C705F1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间接欺凌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主要通过损害别人的社会名誉、同伴关系和自尊而造成伤害。</w:t>
      </w:r>
    </w:p>
    <w:p w14:paraId="1B3BB3B6" w14:textId="77777777" w:rsidR="009B4C4C" w:rsidRPr="009B4C4C" w:rsidRDefault="009B4C4C" w:rsidP="009B4C4C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9B4C4C">
        <w:rPr>
          <w:rFonts w:asciiTheme="majorHAnsi" w:hAnsiTheme="majorHAnsi" w:cstheme="majorHAnsi"/>
          <w:b w:val="0"/>
          <w:color w:val="151547" w:themeColor="text2"/>
          <w:sz w:val="32"/>
          <w:szCs w:val="26"/>
          <w:lang w:eastAsia="zh-CN"/>
        </w:rPr>
        <w:br w:type="page"/>
      </w: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lastRenderedPageBreak/>
        <w:t>可见性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——</w:t>
      </w: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公然和隐蔽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</w:p>
    <w:p w14:paraId="5C6A19B1" w14:textId="77777777" w:rsidR="009B4C4C" w:rsidRPr="004A2727" w:rsidRDefault="009B4C4C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欺凌可以是显而易见的，称为公然欺凌，也可以不容易被不直接涉及的人看见，称为隐蔽欺凌。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6D688D90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公然欺凌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涉及身体行为，例如拳打脚踢，或可以看见的口头行为，例如谩骂和侮辱。公然、直接、身体欺凌是对欺凌的一种常见描述方式。（这有时称为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“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传统欺凌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”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）。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5F0BCD97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但公然身体欺凌可能并非最常见的欺凌类型。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62DAF27E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隐蔽欺凌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可以让非当事人几乎无法发现。隐蔽欺凌可以包括反复使用手势和古怪或威胁性的表情，窃窃私语、排挤或拒绝别人，限制别人可以坐的位置或其说话对象。隐蔽的社会或口头欺凌会不明显，有时甚至会被人以开玩笑或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“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找乐子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”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的借口否认。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0495C769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有些欺凌是</w:t>
      </w: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隐蔽和间接的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，通常被故意隐藏，使别人很难发现。这类欺凌可包括散布谣言、威胁、勒索、窃取对朋友有破坏性的秘密、流言蜚语、批评衣着和个性。间接隐蔽欺凌主要通过损害别人的社会名誉、同伴关系和自尊，即通过心理而</w:t>
      </w:r>
      <w:proofErr w:type="gramStart"/>
      <w:r w:rsidRPr="004A2727">
        <w:rPr>
          <w:rFonts w:asciiTheme="majorHAnsi" w:hAnsiTheme="majorHAnsi" w:cstheme="majorHAnsi"/>
          <w:sz w:val="22"/>
          <w:szCs w:val="22"/>
          <w:lang w:eastAsia="zh-CN"/>
        </w:rPr>
        <w:t>非身体</w:t>
      </w:r>
      <w:proofErr w:type="gramEnd"/>
      <w:r w:rsidRPr="004A2727">
        <w:rPr>
          <w:rFonts w:asciiTheme="majorHAnsi" w:hAnsiTheme="majorHAnsi" w:cstheme="majorHAnsi"/>
          <w:sz w:val="22"/>
          <w:szCs w:val="22"/>
          <w:lang w:eastAsia="zh-CN"/>
        </w:rPr>
        <w:t>造成伤害。</w:t>
      </w:r>
    </w:p>
    <w:p w14:paraId="010FAF63" w14:textId="77777777" w:rsidR="009B4C4C" w:rsidRPr="009B4C4C" w:rsidRDefault="009B4C4C" w:rsidP="009B4C4C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伤害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——</w:t>
      </w: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身体和心理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</w:p>
    <w:p w14:paraId="51C80AD5" w14:textId="77777777" w:rsidR="009B4C4C" w:rsidRPr="004A2727" w:rsidRDefault="009B4C4C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欺凌有可能造成伤害（尽管并非所有不好的行为都一定会造成伤害）。一些类型的欺凌造成的</w:t>
      </w: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身体伤害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显而易见。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02546B1F" w14:textId="77777777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最近的研究确认，欺凌会造成短期和长期</w:t>
      </w: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心理伤害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。这包括通过欺凌（尤其是隐蔽的社会欺凌）伤害某人的社会地位或降低其开展社会交往的意愿。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7B9E25C0" w14:textId="77777777" w:rsidR="009B4C4C" w:rsidRPr="004A2727" w:rsidRDefault="009B4C4C" w:rsidP="009B4C4C">
      <w:pPr>
        <w:spacing w:after="150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事实上，即便只是</w:t>
      </w:r>
      <w:r w:rsidRPr="004A2727">
        <w:rPr>
          <w:rFonts w:asciiTheme="majorHAnsi" w:hAnsiTheme="majorHAnsi" w:cstheme="majorHAnsi"/>
          <w:b/>
          <w:sz w:val="22"/>
          <w:szCs w:val="22"/>
          <w:lang w:eastAsia="zh-CN"/>
        </w:rPr>
        <w:t>害怕欺凌发生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就会造成忧虑和伤害。欺凌的持续性质会导致遭到欺凌者感觉无能为力，无法阻止欺凌发生。欺凌的影响，尤其是对于所涉及者（包括旁观者）的身心健康，即使在问题已经解决后也还会持续。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7D1B3E5F" w14:textId="77777777" w:rsidR="009B4C4C" w:rsidRPr="004A2727" w:rsidRDefault="009B4C4C" w:rsidP="009B4C4C">
      <w:pPr>
        <w:spacing w:after="150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有时候，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“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心理欺凌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”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被用于描述发出威胁和制造持续畏惧，但是用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“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口头或社会欺凌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”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描述行为类型以及用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“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心理伤害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”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描述对遭到欺凌者的影响更为确切。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1934AA97" w14:textId="77777777" w:rsidR="009B4C4C" w:rsidRPr="009B4C4C" w:rsidRDefault="009B4C4C" w:rsidP="009B4C4C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环境</w:t>
      </w:r>
      <w:r w:rsidRPr="009B4C4C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>——</w:t>
      </w:r>
      <w:r w:rsidRPr="009B4C4C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家庭、工作场所和学校</w:t>
      </w:r>
    </w:p>
    <w:p w14:paraId="148121E0" w14:textId="77777777" w:rsidR="009B4C4C" w:rsidRPr="004A2727" w:rsidRDefault="009B4C4C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欺凌会发生在任何地方。它可以发生在家中、工作场所和学校。它可以发生在任何人身上。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</w:p>
    <w:p w14:paraId="38FD38A3" w14:textId="7A21E670" w:rsidR="009B4C4C" w:rsidRPr="004A2727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</w:rPr>
      </w:pPr>
      <w:r w:rsidRPr="004A2727">
        <w:rPr>
          <w:rFonts w:asciiTheme="majorHAnsi" w:hAnsiTheme="majorHAnsi" w:cstheme="majorHAnsi"/>
          <w:sz w:val="22"/>
          <w:szCs w:val="22"/>
          <w:lang w:eastAsia="zh-CN"/>
        </w:rPr>
        <w:t>欺凌可以发生在学生、员工和父母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/</w:t>
      </w:r>
      <w:r w:rsidRPr="004A2727">
        <w:rPr>
          <w:rFonts w:asciiTheme="majorHAnsi" w:hAnsiTheme="majorHAnsi" w:cstheme="majorHAnsi"/>
          <w:sz w:val="22"/>
          <w:szCs w:val="22"/>
          <w:lang w:eastAsia="zh-CN"/>
        </w:rPr>
        <w:t>照顾者之间。欺凌。绝不允许！关注学生之间的欺凌。在学校经历欺凌的教师应该联系其健康和安全代表、人事部或工会。</w:t>
      </w:r>
      <w:proofErr w:type="spellStart"/>
      <w:r w:rsidRPr="004A2727">
        <w:rPr>
          <w:rFonts w:asciiTheme="majorHAnsi" w:hAnsiTheme="majorHAnsi" w:cstheme="majorHAnsi"/>
          <w:sz w:val="22"/>
          <w:szCs w:val="22"/>
        </w:rPr>
        <w:t>关于工作场所欺凌的信息可见于澳大利亚公平工作委员会网站</w:t>
      </w:r>
      <w:hyperlink r:id="rId12" w:history="1">
        <w:r w:rsidRPr="004A2727">
          <w:rPr>
            <w:rStyle w:val="Hyperlink"/>
            <w:rFonts w:asciiTheme="majorHAnsi" w:hAnsiTheme="majorHAnsi" w:cstheme="majorHAnsi"/>
            <w:sz w:val="22"/>
            <w:szCs w:val="22"/>
          </w:rPr>
          <w:t>https</w:t>
        </w:r>
        <w:proofErr w:type="spellEnd"/>
        <w:r w:rsidRPr="004A2727">
          <w:rPr>
            <w:rStyle w:val="Hyperlink"/>
            <w:rFonts w:asciiTheme="majorHAnsi" w:hAnsiTheme="majorHAnsi" w:cstheme="majorHAnsi"/>
            <w:sz w:val="22"/>
            <w:szCs w:val="22"/>
          </w:rPr>
          <w:t>://www.fwc.gov.au/</w:t>
        </w:r>
      </w:hyperlink>
      <w:r w:rsidRPr="004A2727">
        <w:rPr>
          <w:rFonts w:asciiTheme="majorHAnsi" w:hAnsiTheme="majorHAnsi" w:cstheme="majorHAnsi"/>
          <w:sz w:val="22"/>
          <w:szCs w:val="22"/>
        </w:rPr>
        <w:t>。</w:t>
      </w:r>
    </w:p>
    <w:p w14:paraId="657289C6" w14:textId="77777777" w:rsidR="009B4C4C" w:rsidRPr="009B4C4C" w:rsidRDefault="009B4C4C" w:rsidP="009B4C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Cs w:val="22"/>
        </w:rPr>
      </w:pPr>
    </w:p>
    <w:p w14:paraId="7771DE17" w14:textId="77777777" w:rsidR="00170582" w:rsidRPr="00F243FD" w:rsidRDefault="00170582" w:rsidP="00076FF3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ajorHAnsi" w:hAnsiTheme="majorHAnsi" w:cstheme="majorHAnsi"/>
          <w:lang w:eastAsia="zh-CN"/>
        </w:rPr>
      </w:pPr>
    </w:p>
    <w:sectPr w:rsidR="00170582" w:rsidRPr="00F243FD" w:rsidSect="001D39EA">
      <w:headerReference w:type="default" r:id="rId13"/>
      <w:footerReference w:type="default" r:id="rId14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3611" w14:textId="77777777" w:rsidR="00A77026" w:rsidRDefault="00A77026" w:rsidP="002B7185">
      <w:r>
        <w:pict w14:anchorId="1DBB341C">
          <v:rect id="_x0000_i1027" style="width:0;height:1.5pt" o:hralign="center" o:hrstd="t" o:hr="t" fillcolor="#a0a0a0" stroked="f"/>
        </w:pict>
      </w:r>
    </w:p>
    <w:p w14:paraId="18DED02B" w14:textId="77777777" w:rsidR="00A77026" w:rsidRDefault="00A77026" w:rsidP="002B7185"/>
  </w:endnote>
  <w:endnote w:type="continuationSeparator" w:id="0">
    <w:p w14:paraId="7F8B772C" w14:textId="77777777" w:rsidR="00A77026" w:rsidRDefault="00A77026" w:rsidP="002B7185">
      <w:r>
        <w:pict w14:anchorId="31CAD7F6">
          <v:rect id="_x0000_i1028" style="width:0;height:1.5pt" o:hralign="center" o:hrstd="t" o:hr="t" fillcolor="#a0a0a0" stroked="f"/>
        </w:pict>
      </w:r>
    </w:p>
    <w:p w14:paraId="2467DF8D" w14:textId="77777777" w:rsidR="00A77026" w:rsidRDefault="00A77026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573F" w14:textId="77777777" w:rsidR="00A77026" w:rsidRPr="00026DC2" w:rsidRDefault="00A77026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02860887" w14:textId="77777777" w:rsidR="00A77026" w:rsidRDefault="00A77026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3F534C38" w14:textId="77777777" w:rsidR="00A77026" w:rsidRDefault="00A77026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1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2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3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7"/>
  </w:num>
  <w:num w:numId="5">
    <w:abstractNumId w:val="17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32"/>
  </w:num>
  <w:num w:numId="11">
    <w:abstractNumId w:val="0"/>
  </w:num>
  <w:num w:numId="12">
    <w:abstractNumId w:val="28"/>
  </w:num>
  <w:num w:numId="13">
    <w:abstractNumId w:val="29"/>
  </w:num>
  <w:num w:numId="14">
    <w:abstractNumId w:val="36"/>
  </w:num>
  <w:num w:numId="15">
    <w:abstractNumId w:val="0"/>
  </w:num>
  <w:num w:numId="16">
    <w:abstractNumId w:val="20"/>
  </w:num>
  <w:num w:numId="17">
    <w:abstractNumId w:val="26"/>
  </w:num>
  <w:num w:numId="18">
    <w:abstractNumId w:val="18"/>
  </w:num>
  <w:num w:numId="19">
    <w:abstractNumId w:val="0"/>
  </w:num>
  <w:num w:numId="20">
    <w:abstractNumId w:val="28"/>
  </w:num>
  <w:num w:numId="21">
    <w:abstractNumId w:val="20"/>
  </w:num>
  <w:num w:numId="22">
    <w:abstractNumId w:val="26"/>
  </w:num>
  <w:num w:numId="23">
    <w:abstractNumId w:val="29"/>
  </w:num>
  <w:num w:numId="24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727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5D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B4C4C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26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14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9FD"/>
    <w:rsid w:val="00C95C35"/>
    <w:rsid w:val="00C962B4"/>
    <w:rsid w:val="00C966A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3FD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w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04D8DD74AA40B64093DE53A71933" ma:contentTypeVersion="0" ma:contentTypeDescription="Create a new document." ma:contentTypeScope="" ma:versionID="3183a3686642e588d04df5ba18ee28f5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2023-08-03T06:34:27+00:00</PPModeratedDate>
    <PPLastReviewedDate xmlns="b70dd679-76a0-4ce0-858d-24cdf2777c25">2023-08-03T06:34:27+00:00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DF46B-D67B-422F-B7F7-F484736783B0}"/>
</file>

<file path=customXml/itemProps4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欺凌的类型 – Fact sheet: Types of bullying</dc:title>
  <dc:subject>欺凌的类型</dc:subject>
  <dc:creator>Australian Education Authorities / The State of Queensland</dc:creator>
  <cp:keywords/>
  <dc:description/>
  <cp:revision>4</cp:revision>
  <cp:lastPrinted>2023-05-17T13:54:00Z</cp:lastPrinted>
  <dcterms:created xsi:type="dcterms:W3CDTF">2023-07-05T06:40:00Z</dcterms:created>
  <dcterms:modified xsi:type="dcterms:W3CDTF">2023-07-05T06:53:00Z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0x010100E1B604D8DD74AA40B64093DE53A71933</vt:lpwstr>
  </property>
  <property fmtid="{D5CDD505-2E9C-101B-9397-08002B2CF9AE}" pid="3" name="MediaServiceImageTags">
    <vt:lpwstr/>
  </property>
</Properties>
</file>