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66CC" w14:textId="77777777" w:rsidR="005C710B" w:rsidRPr="00F4339A" w:rsidRDefault="005C710B" w:rsidP="008D39BC">
      <w:pPr>
        <w:pStyle w:val="Documenttitle"/>
        <w:spacing w:after="0"/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CN"/>
        </w:rPr>
      </w:pPr>
      <w:r w:rsidRPr="00F4339A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CN"/>
        </w:rPr>
        <w:t>欺凌、骚扰、歧视和暴力的定义</w:t>
      </w:r>
    </w:p>
    <w:p w14:paraId="1E1FF7C2" w14:textId="7C26930D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欺凌、骚扰、歧视和暴力都是会产生或促成负面社会环境的人际行为。所有学校社区都应在其学校政策和程序中载明欺凌、骚扰、歧视和暴力的明确定义。</w:t>
      </w:r>
    </w:p>
    <w:p w14:paraId="6EE45ECB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Cs w:val="22"/>
          <w:lang w:val="en" w:eastAsia="zh-CN"/>
        </w:rPr>
      </w:pPr>
    </w:p>
    <w:p w14:paraId="4AC68714" w14:textId="77777777" w:rsidR="001E2AEC" w:rsidRPr="00F4339A" w:rsidRDefault="001E2AEC" w:rsidP="008D39BC">
      <w:pPr>
        <w:pStyle w:val="Heading1"/>
        <w:spacing w:after="0"/>
        <w:rPr>
          <w:rFonts w:ascii="Open Sans SemiBold" w:eastAsia="SimSun" w:hAnsi="Open Sans SemiBold"/>
          <w:sz w:val="50"/>
          <w:szCs w:val="50"/>
          <w:lang w:eastAsia="zh-CN"/>
        </w:rPr>
      </w:pPr>
      <w:r w:rsidRPr="00F4339A">
        <w:rPr>
          <w:rFonts w:ascii="Open Sans SemiBold" w:eastAsia="SimSun" w:hAnsi="Open Sans SemiBold"/>
          <w:sz w:val="50"/>
          <w:szCs w:val="50"/>
          <w:lang w:val="en-US" w:eastAsia="zh-CN"/>
        </w:rPr>
        <w:t>欺凌</w:t>
      </w:r>
    </w:p>
    <w:p w14:paraId="3D38F2F1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澳大利亚学校欺凌的全国定义称：</w:t>
      </w:r>
    </w:p>
    <w:p w14:paraId="4CCCD7E0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欺凌是在关系中通过会造成身体和</w:t>
      </w:r>
      <w:r w:rsidRPr="00F4339A">
        <w:rPr>
          <w:rFonts w:eastAsia="SimSun" w:cstheme="minorHAnsi"/>
          <w:sz w:val="22"/>
          <w:szCs w:val="22"/>
          <w:lang w:val="en" w:eastAsia="zh-CN"/>
        </w:rPr>
        <w:t>/</w:t>
      </w:r>
      <w:r w:rsidRPr="00F4339A">
        <w:rPr>
          <w:rFonts w:eastAsia="SimSun" w:cstheme="minorHAnsi"/>
          <w:sz w:val="22"/>
          <w:szCs w:val="22"/>
          <w:lang w:val="en" w:eastAsia="zh-CN"/>
        </w:rPr>
        <w:t>或心理伤害的反复的口头、身体和</w:t>
      </w:r>
      <w:r w:rsidRPr="00F4339A">
        <w:rPr>
          <w:rFonts w:eastAsia="SimSun" w:cstheme="minorHAnsi"/>
          <w:sz w:val="22"/>
          <w:szCs w:val="22"/>
          <w:lang w:val="en" w:eastAsia="zh-CN"/>
        </w:rPr>
        <w:t>/</w:t>
      </w:r>
      <w:r w:rsidRPr="00F4339A">
        <w:rPr>
          <w:rFonts w:eastAsia="SimSun" w:cstheme="minorHAnsi"/>
          <w:sz w:val="22"/>
          <w:szCs w:val="22"/>
          <w:lang w:val="en" w:eastAsia="zh-CN"/>
        </w:rPr>
        <w:t>或社会行为滥用力量。这可以涉及一个人或团体针对一个人或多人滥用其力量。欺凌会当面发生，也会在网上发生，可以是明显的（公然）或隐藏的（隐蔽）。</w:t>
      </w:r>
    </w:p>
    <w:p w14:paraId="69827B6C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任何形式或出于任何原因的欺凌都会对涉及的人（包括旁观者）产生长期的影响。</w:t>
      </w:r>
    </w:p>
    <w:p w14:paraId="4DC5D046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平等双方之间的单一事件和冲突或争斗，无论是在当面还是网上发生，均不属于欺凌范畴。</w:t>
      </w:r>
      <w:r w:rsidRPr="00F4339A">
        <w:rPr>
          <w:rFonts w:eastAsia="SimSun" w:cstheme="minorHAnsi"/>
          <w:sz w:val="22"/>
          <w:szCs w:val="22"/>
          <w:lang w:val="en" w:eastAsia="zh-CN"/>
        </w:rPr>
        <w:br/>
      </w:r>
    </w:p>
    <w:p w14:paraId="38D3F8CD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不构成欺凌的行为包括：</w:t>
      </w:r>
    </w:p>
    <w:p w14:paraId="36FCB57A" w14:textId="77777777" w:rsidR="001E2AEC" w:rsidRPr="00F4339A" w:rsidRDefault="001E2AEC" w:rsidP="008D39BC">
      <w:pPr>
        <w:numPr>
          <w:ilvl w:val="0"/>
          <w:numId w:val="20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双方争吵和意见不合（没有力量不平衡）</w:t>
      </w:r>
    </w:p>
    <w:p w14:paraId="17CADD78" w14:textId="77777777" w:rsidR="001E2AEC" w:rsidRPr="00F4339A" w:rsidRDefault="001E2AEC" w:rsidP="008D39BC">
      <w:pPr>
        <w:numPr>
          <w:ilvl w:val="0"/>
          <w:numId w:val="20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不喜欢某人，或单一的社会拒绝行为</w:t>
      </w:r>
    </w:p>
    <w:p w14:paraId="5C9EF765" w14:textId="77777777" w:rsidR="001E2AEC" w:rsidRPr="00F4339A" w:rsidRDefault="001E2AEC" w:rsidP="008D39BC">
      <w:pPr>
        <w:numPr>
          <w:ilvl w:val="0"/>
          <w:numId w:val="20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一次性的卑劣或恶意行为</w:t>
      </w:r>
    </w:p>
    <w:p w14:paraId="5985BD60" w14:textId="77777777" w:rsidR="001E2AEC" w:rsidRPr="00F4339A" w:rsidRDefault="001E2AEC" w:rsidP="008D39BC">
      <w:pPr>
        <w:numPr>
          <w:ilvl w:val="0"/>
          <w:numId w:val="20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孤立的好斗、恐吓或暴力事件</w:t>
      </w:r>
      <w:r w:rsidRPr="00F4339A">
        <w:rPr>
          <w:rFonts w:eastAsia="SimSun" w:cstheme="minorHAnsi"/>
          <w:sz w:val="22"/>
          <w:szCs w:val="22"/>
          <w:lang w:val="en" w:eastAsia="zh-CN"/>
        </w:rPr>
        <w:br/>
      </w:r>
    </w:p>
    <w:p w14:paraId="54A2F625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F4339A">
        <w:rPr>
          <w:rFonts w:eastAsia="SimSun" w:cstheme="minorHAnsi"/>
          <w:sz w:val="22"/>
          <w:szCs w:val="22"/>
          <w:lang w:val="en" w:eastAsia="zh-CN"/>
        </w:rPr>
        <w:t>但是，这些矛盾仍然需要处理和解决。</w:t>
      </w:r>
      <w:r w:rsidRPr="00F4339A">
        <w:rPr>
          <w:rFonts w:eastAsia="SimSun" w:cstheme="minorHAnsi"/>
          <w:sz w:val="22"/>
          <w:szCs w:val="22"/>
          <w:lang w:val="en" w:eastAsia="zh-CN"/>
        </w:rPr>
        <w:br/>
      </w:r>
      <w:r w:rsidRPr="00F4339A">
        <w:rPr>
          <w:rFonts w:eastAsia="SimSun" w:cstheme="minorHAnsi"/>
          <w:sz w:val="22"/>
          <w:szCs w:val="22"/>
          <w:lang w:val="en" w:eastAsia="zh-CN"/>
        </w:rPr>
        <w:br/>
      </w:r>
      <w:r w:rsidRPr="00F4339A">
        <w:rPr>
          <w:rFonts w:eastAsia="SimSun" w:cstheme="minorHAnsi"/>
          <w:sz w:val="22"/>
          <w:szCs w:val="22"/>
          <w:lang w:val="en" w:eastAsia="zh-CN"/>
        </w:rPr>
        <w:t>同样，并非所有网上问题都是欺凌。（网上欺凌有时称为网络欺凌，指通过信息和通信技术开展的欺凌。）</w:t>
      </w:r>
      <w:bookmarkStart w:id="0" w:name="Harassment"/>
      <w:bookmarkEnd w:id="0"/>
    </w:p>
    <w:p w14:paraId="7CF5E90D" w14:textId="77777777" w:rsidR="001E2AEC" w:rsidRPr="00F4339A" w:rsidRDefault="001E2AEC" w:rsidP="008D39BC">
      <w:pPr>
        <w:tabs>
          <w:tab w:val="left" w:pos="426"/>
        </w:tabs>
        <w:spacing w:before="0" w:after="0" w:line="240" w:lineRule="auto"/>
        <w:ind w:right="78"/>
        <w:rPr>
          <w:rFonts w:eastAsia="SimSun" w:cstheme="minorHAnsi"/>
          <w:szCs w:val="22"/>
          <w:lang w:val="en-GB" w:eastAsia="zh-CN"/>
        </w:rPr>
      </w:pPr>
    </w:p>
    <w:p w14:paraId="33848126" w14:textId="0AC9DB7C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MS Mincho" w:cstheme="minorHAnsi"/>
          <w:szCs w:val="22"/>
          <w:lang w:val="en" w:eastAsia="zh-CN"/>
        </w:rPr>
      </w:pPr>
      <w:r w:rsidRPr="00F4339A">
        <w:rPr>
          <w:rFonts w:ascii="Open Sans SemiBold" w:hAnsi="Open Sans SemiBold" w:cs="Open Sans SemiBold"/>
          <w:b/>
          <w:bCs/>
          <w:sz w:val="50"/>
          <w:szCs w:val="50"/>
          <w:lang w:eastAsia="zh-CN"/>
        </w:rPr>
        <w:t>骚扰</w:t>
      </w:r>
    </w:p>
    <w:p w14:paraId="7D5B5B61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骚扰是指由于个人或团体的以下原因而针对他们的行为：</w:t>
      </w:r>
    </w:p>
    <w:p w14:paraId="34CD8A81" w14:textId="77777777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身分、种族、文化或民族本源</w:t>
      </w:r>
      <w:proofErr w:type="spellEnd"/>
    </w:p>
    <w:p w14:paraId="4C4750DA" w14:textId="77777777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宗教</w:t>
      </w:r>
      <w:proofErr w:type="spellEnd"/>
    </w:p>
    <w:p w14:paraId="66F59ACD" w14:textId="77777777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身体特征</w:t>
      </w:r>
      <w:proofErr w:type="spellEnd"/>
    </w:p>
    <w:p w14:paraId="7740A1FB" w14:textId="77777777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lastRenderedPageBreak/>
        <w:t>性别</w:t>
      </w:r>
      <w:proofErr w:type="spellEnd"/>
    </w:p>
    <w:p w14:paraId="05930F86" w14:textId="77777777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性取向</w:t>
      </w:r>
      <w:proofErr w:type="spellEnd"/>
    </w:p>
    <w:p w14:paraId="75C74C89" w14:textId="77777777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婚姻、子女养育或经济状态</w:t>
      </w:r>
    </w:p>
    <w:p w14:paraId="79D02132" w14:textId="77777777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年龄</w:t>
      </w:r>
      <w:proofErr w:type="spellEnd"/>
    </w:p>
    <w:p w14:paraId="40967E10" w14:textId="4981485A" w:rsidR="001E2AEC" w:rsidRPr="00F4339A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能力或残障</w:t>
      </w:r>
      <w:proofErr w:type="spellEnd"/>
    </w:p>
    <w:p w14:paraId="7FC1869F" w14:textId="1A17B7C9" w:rsidR="001E2AEC" w:rsidRPr="00F4339A" w:rsidRDefault="001E2AEC" w:rsidP="008D39BC">
      <w:pPr>
        <w:tabs>
          <w:tab w:val="left" w:pos="426"/>
        </w:tabs>
        <w:autoSpaceDN w:val="0"/>
        <w:spacing w:before="100" w:beforeAutospacing="1" w:after="0" w:line="240" w:lineRule="auto"/>
        <w:ind w:left="720" w:right="78"/>
        <w:rPr>
          <w:rFonts w:asciiTheme="majorHAnsi" w:eastAsia="SimSun" w:hAnsiTheme="majorHAnsi" w:cstheme="majorHAnsi"/>
          <w:sz w:val="22"/>
          <w:szCs w:val="22"/>
          <w:lang w:val="en"/>
        </w:rPr>
      </w:pPr>
    </w:p>
    <w:p w14:paraId="686F123D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这种行为冒犯、羞辱和恐吓他人，并产生敌意的环境。它可能是：</w:t>
      </w:r>
    </w:p>
    <w:p w14:paraId="081B939E" w14:textId="77777777" w:rsidR="001E2AEC" w:rsidRPr="00F4339A" w:rsidRDefault="001E2AEC" w:rsidP="008D39BC">
      <w:pPr>
        <w:numPr>
          <w:ilvl w:val="0"/>
          <w:numId w:val="22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持续模式的行为或单独的行为</w:t>
      </w:r>
    </w:p>
    <w:p w14:paraId="24FAC5A1" w14:textId="77777777" w:rsidR="001E2AEC" w:rsidRPr="00F4339A" w:rsidRDefault="001E2AEC" w:rsidP="008D39BC">
      <w:pPr>
        <w:numPr>
          <w:ilvl w:val="0"/>
          <w:numId w:val="22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随机或有导向性地针对同一个人（或多人）</w:t>
      </w:r>
    </w:p>
    <w:p w14:paraId="437C71ED" w14:textId="468E70AA" w:rsidR="001E2AEC" w:rsidRPr="00F4339A" w:rsidRDefault="001E2AEC" w:rsidP="008D39BC">
      <w:pPr>
        <w:numPr>
          <w:ilvl w:val="0"/>
          <w:numId w:val="22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pacing w:val="-1"/>
          <w:sz w:val="22"/>
          <w:szCs w:val="22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有意或无意的</w:t>
      </w:r>
      <w:proofErr w:type="spellEnd"/>
    </w:p>
    <w:p w14:paraId="618514F1" w14:textId="77777777" w:rsidR="001E2AEC" w:rsidRPr="00F4339A" w:rsidRDefault="001E2AEC" w:rsidP="008D39BC">
      <w:pPr>
        <w:tabs>
          <w:tab w:val="left" w:pos="426"/>
        </w:tabs>
        <w:autoSpaceDN w:val="0"/>
        <w:spacing w:before="100" w:beforeAutospacing="1" w:after="0" w:line="240" w:lineRule="auto"/>
        <w:ind w:left="720" w:right="78"/>
        <w:rPr>
          <w:rFonts w:asciiTheme="majorHAnsi" w:eastAsia="SimSun" w:hAnsiTheme="majorHAnsi" w:cstheme="majorHAnsi"/>
          <w:spacing w:val="-1"/>
          <w:szCs w:val="22"/>
        </w:rPr>
      </w:pPr>
    </w:p>
    <w:p w14:paraId="182B7308" w14:textId="77777777" w:rsidR="001E2AEC" w:rsidRPr="00F4339A" w:rsidRDefault="001E2AEC" w:rsidP="008D39BC">
      <w:pPr>
        <w:pStyle w:val="BodyText"/>
        <w:kinsoku w:val="0"/>
        <w:overflowPunct w:val="0"/>
        <w:spacing w:after="0" w:line="237" w:lineRule="auto"/>
        <w:ind w:right="78"/>
        <w:rPr>
          <w:rFonts w:ascii="Open Sans SemiBold" w:hAnsi="Open Sans SemiBold" w:cs="Open Sans SemiBold"/>
          <w:b/>
          <w:bCs/>
          <w:sz w:val="50"/>
          <w:szCs w:val="50"/>
          <w:lang w:eastAsia="zh-CN"/>
        </w:rPr>
      </w:pPr>
      <w:bookmarkStart w:id="1" w:name="Discrimination"/>
      <w:bookmarkEnd w:id="1"/>
      <w:r w:rsidRPr="00F4339A">
        <w:rPr>
          <w:rFonts w:ascii="Open Sans SemiBold" w:hAnsi="Open Sans SemiBold" w:cs="Open Sans SemiBold" w:hint="eastAsia"/>
          <w:b/>
          <w:bCs/>
          <w:sz w:val="50"/>
          <w:szCs w:val="50"/>
          <w:lang w:eastAsia="zh-CN"/>
        </w:rPr>
        <w:t>歧视</w:t>
      </w:r>
    </w:p>
    <w:p w14:paraId="55E8BCE4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歧视是指人们因为其以下原因而受到比别人不利的对待：</w:t>
      </w:r>
    </w:p>
    <w:p w14:paraId="5CA35F80" w14:textId="77777777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身分、种族、文化或民族本源</w:t>
      </w:r>
      <w:proofErr w:type="spellEnd"/>
    </w:p>
    <w:p w14:paraId="0293A831" w14:textId="77777777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宗教</w:t>
      </w:r>
      <w:proofErr w:type="spellEnd"/>
    </w:p>
    <w:p w14:paraId="75A8087C" w14:textId="77777777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身体特征</w:t>
      </w:r>
      <w:proofErr w:type="spellEnd"/>
    </w:p>
    <w:p w14:paraId="4A5A6F17" w14:textId="77777777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性别</w:t>
      </w:r>
      <w:proofErr w:type="spellEnd"/>
    </w:p>
    <w:p w14:paraId="0A64A172" w14:textId="77777777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性取向</w:t>
      </w:r>
      <w:proofErr w:type="spellEnd"/>
    </w:p>
    <w:p w14:paraId="51924EF5" w14:textId="77777777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婚姻、子女养育或经济状态</w:t>
      </w:r>
    </w:p>
    <w:p w14:paraId="74EBDDD9" w14:textId="77777777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年龄</w:t>
      </w:r>
      <w:proofErr w:type="spellEnd"/>
    </w:p>
    <w:p w14:paraId="17AACDAA" w14:textId="00FAA318" w:rsidR="001E2AEC" w:rsidRPr="00F4339A" w:rsidRDefault="001E2AEC" w:rsidP="008D39BC">
      <w:pPr>
        <w:numPr>
          <w:ilvl w:val="0"/>
          <w:numId w:val="23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能力或残障</w:t>
      </w:r>
      <w:proofErr w:type="spellEnd"/>
    </w:p>
    <w:p w14:paraId="2A4F7D80" w14:textId="77777777" w:rsidR="001E2AEC" w:rsidRPr="00F4339A" w:rsidRDefault="001E2AEC" w:rsidP="008D39BC">
      <w:p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Cs w:val="22"/>
          <w:lang w:val="en"/>
        </w:rPr>
      </w:pPr>
    </w:p>
    <w:p w14:paraId="0EA0A1BE" w14:textId="77777777" w:rsidR="001E2AEC" w:rsidRPr="00F4339A" w:rsidRDefault="001E2AEC" w:rsidP="008D39BC">
      <w:pPr>
        <w:pStyle w:val="BodyText"/>
        <w:kinsoku w:val="0"/>
        <w:overflowPunct w:val="0"/>
        <w:spacing w:after="0" w:line="237" w:lineRule="auto"/>
        <w:ind w:right="78"/>
        <w:rPr>
          <w:rFonts w:ascii="Open Sans SemiBold" w:hAnsi="Open Sans SemiBold" w:cs="Open Sans SemiBold"/>
          <w:b/>
          <w:bCs/>
          <w:sz w:val="50"/>
          <w:szCs w:val="50"/>
          <w:lang w:eastAsia="zh-CN"/>
        </w:rPr>
      </w:pPr>
      <w:bookmarkStart w:id="2" w:name="Violence"/>
      <w:bookmarkEnd w:id="2"/>
      <w:r w:rsidRPr="00F4339A">
        <w:rPr>
          <w:rFonts w:ascii="Open Sans SemiBold" w:hAnsi="Open Sans SemiBold" w:cs="Open Sans SemiBold" w:hint="eastAsia"/>
          <w:b/>
          <w:bCs/>
          <w:sz w:val="50"/>
          <w:szCs w:val="50"/>
          <w:lang w:eastAsia="zh-CN"/>
        </w:rPr>
        <w:t>暴力</w:t>
      </w:r>
    </w:p>
    <w:p w14:paraId="4369A53A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CN"/>
        </w:rPr>
      </w:pP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暴力是指针对另一个人（或多人）威胁或实际故意使用身体力量，造成心理伤害、</w:t>
      </w: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br/>
      </w: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t>身体受伤或有些情况下死亡。这可能涉及遭挑衅引起的或无故的行为，可以是单一事件、随机行为或在一段时间内发生。</w:t>
      </w:r>
      <w:r w:rsidRPr="00F4339A">
        <w:rPr>
          <w:rFonts w:asciiTheme="majorHAnsi" w:eastAsia="SimSun" w:hAnsiTheme="majorHAnsi" w:cstheme="majorHAnsi"/>
          <w:sz w:val="22"/>
          <w:szCs w:val="22"/>
          <w:lang w:val="en" w:eastAsia="zh-CN"/>
        </w:rPr>
        <w:br/>
      </w:r>
    </w:p>
    <w:p w14:paraId="46F48C8B" w14:textId="77777777" w:rsidR="001E2AEC" w:rsidRPr="00F4339A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MS Mincho" w:hAnsiTheme="majorHAnsi" w:cstheme="majorHAnsi"/>
          <w:sz w:val="22"/>
          <w:szCs w:val="22"/>
          <w:lang w:val="en"/>
        </w:rPr>
      </w:pP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本资料单中的定义包含关键特征，摘自</w:t>
      </w:r>
      <w:proofErr w:type="spellEnd"/>
      <w:r w:rsidRPr="00F4339A">
        <w:rPr>
          <w:rFonts w:asciiTheme="majorHAnsi" w:hAnsiTheme="majorHAnsi" w:cstheme="majorHAnsi"/>
          <w:sz w:val="22"/>
          <w:szCs w:val="22"/>
          <w:lang w:val="en"/>
        </w:rPr>
        <w:t>Student Wellbeing Hub</w:t>
      </w:r>
      <w:r w:rsidRPr="00F4339A">
        <w:rPr>
          <w:rFonts w:asciiTheme="majorHAnsi" w:eastAsia="Microsoft JhengHei" w:hAnsiTheme="majorHAnsi" w:cstheme="majorHAnsi"/>
          <w:sz w:val="22"/>
          <w:szCs w:val="22"/>
          <w:lang w:val="en"/>
        </w:rPr>
        <w:t>，</w:t>
      </w:r>
      <w:proofErr w:type="spellStart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可在以下网址获取</w:t>
      </w:r>
      <w:proofErr w:type="spellEnd"/>
      <w:r w:rsidRPr="00F4339A">
        <w:rPr>
          <w:rFonts w:asciiTheme="majorHAnsi" w:eastAsia="SimSun" w:hAnsiTheme="majorHAnsi" w:cstheme="majorHAnsi"/>
          <w:sz w:val="22"/>
          <w:szCs w:val="22"/>
          <w:lang w:val="en"/>
        </w:rPr>
        <w:t>：</w:t>
      </w:r>
      <w:hyperlink r:id="rId12" w:anchor="/" w:history="1">
        <w:r w:rsidRPr="00F4339A">
          <w:rPr>
            <w:rStyle w:val="Hyperlink"/>
            <w:rFonts w:asciiTheme="majorHAnsi" w:hAnsiTheme="majorHAnsi" w:cstheme="majorHAnsi"/>
            <w:color w:val="151547" w:themeColor="text2"/>
            <w:sz w:val="22"/>
            <w:szCs w:val="22"/>
            <w:lang w:val="en"/>
          </w:rPr>
          <w:t>https://studentwellbeinghub.edu.au/glossary#/</w:t>
        </w:r>
      </w:hyperlink>
      <w:r w:rsidRPr="00F4339A">
        <w:rPr>
          <w:rFonts w:asciiTheme="majorHAnsi" w:hAnsiTheme="majorHAnsi" w:cstheme="majorHAnsi"/>
          <w:sz w:val="22"/>
          <w:szCs w:val="22"/>
          <w:lang w:val="en"/>
        </w:rPr>
        <w:t xml:space="preserve"> </w:t>
      </w:r>
    </w:p>
    <w:p w14:paraId="7771DE17" w14:textId="77777777" w:rsidR="00170582" w:rsidRPr="00F4339A" w:rsidRDefault="00170582" w:rsidP="008D39BC">
      <w:pPr>
        <w:tabs>
          <w:tab w:val="left" w:pos="426"/>
        </w:tabs>
        <w:spacing w:before="0" w:after="0" w:line="240" w:lineRule="auto"/>
        <w:ind w:right="78"/>
        <w:rPr>
          <w:lang w:val="fr-FR"/>
        </w:rPr>
      </w:pPr>
    </w:p>
    <w:sectPr w:rsidR="00170582" w:rsidRPr="00F4339A" w:rsidSect="001D39EA">
      <w:headerReference w:type="default" r:id="rId13"/>
      <w:footerReference w:type="default" r:id="rId14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3E50" w14:textId="77777777" w:rsidR="00BE194D" w:rsidRDefault="00BE194D" w:rsidP="002B7185">
      <w:r>
        <w:pict w14:anchorId="1DBB341C">
          <v:rect id="_x0000_i1027" style="width:0;height:1.5pt" o:hralign="center" o:hrstd="t" o:hr="t" fillcolor="#a0a0a0" stroked="f"/>
        </w:pict>
      </w:r>
    </w:p>
    <w:p w14:paraId="720B7061" w14:textId="77777777" w:rsidR="00BE194D" w:rsidRDefault="00BE194D" w:rsidP="002B7185"/>
  </w:endnote>
  <w:endnote w:type="continuationSeparator" w:id="0">
    <w:p w14:paraId="173394F8" w14:textId="77777777" w:rsidR="00BE194D" w:rsidRDefault="00BE194D" w:rsidP="002B7185">
      <w:r>
        <w:pict w14:anchorId="31CAD7F6">
          <v:rect id="_x0000_i1028" style="width:0;height:1.5pt" o:hralign="center" o:hrstd="t" o:hr="t" fillcolor="#a0a0a0" stroked="f"/>
        </w:pict>
      </w:r>
    </w:p>
    <w:p w14:paraId="30E6B893" w14:textId="77777777" w:rsidR="00BE194D" w:rsidRDefault="00BE194D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5A68" w14:textId="77777777" w:rsidR="00BE194D" w:rsidRPr="00026DC2" w:rsidRDefault="00BE194D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3539EC1E" w14:textId="77777777" w:rsidR="00BE194D" w:rsidRDefault="00BE194D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2484709C" w14:textId="77777777" w:rsidR="00BE194D" w:rsidRDefault="00BE194D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5367644"/>
    <w:multiLevelType w:val="hybridMultilevel"/>
    <w:tmpl w:val="B680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4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5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1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2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3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4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7"/>
  </w:num>
  <w:num w:numId="5">
    <w:abstractNumId w:val="17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32"/>
  </w:num>
  <w:num w:numId="11">
    <w:abstractNumId w:val="0"/>
  </w:num>
  <w:num w:numId="12">
    <w:abstractNumId w:val="28"/>
  </w:num>
  <w:num w:numId="13">
    <w:abstractNumId w:val="29"/>
  </w:num>
  <w:num w:numId="14">
    <w:abstractNumId w:val="36"/>
  </w:num>
  <w:num w:numId="15">
    <w:abstractNumId w:val="0"/>
  </w:num>
  <w:num w:numId="16">
    <w:abstractNumId w:val="20"/>
  </w:num>
  <w:num w:numId="17">
    <w:abstractNumId w:val="26"/>
  </w:num>
  <w:num w:numId="18">
    <w:abstractNumId w:val="18"/>
  </w:num>
  <w:num w:numId="19">
    <w:abstractNumId w:val="0"/>
  </w:num>
  <w:num w:numId="20">
    <w:abstractNumId w:val="28"/>
  </w:num>
  <w:num w:numId="21">
    <w:abstractNumId w:val="20"/>
  </w:num>
  <w:num w:numId="22">
    <w:abstractNumId w:val="26"/>
  </w:num>
  <w:num w:numId="2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6FF3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AEC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76AA0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710B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41B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36D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2A38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1748"/>
    <w:rsid w:val="008D2A7D"/>
    <w:rsid w:val="008D2B7D"/>
    <w:rsid w:val="008D2D24"/>
    <w:rsid w:val="008D39BC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159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B7EE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194D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4AD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339A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udentwellbeinghub.edu.au/gloss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2023-08-03T06:34:26+00:00</PPModeratedDate>
    <PPLastReviewedDate xmlns="b70dd679-76a0-4ce0-858d-24cdf2777c25">2023-08-03T06:34:26+00:00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04D8DD74AA40B64093DE53A71933" ma:contentTypeVersion="0" ma:contentTypeDescription="Create a new document." ma:contentTypeScope="" ma:versionID="3183a3686642e588d04df5ba18ee28f5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4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0FBCE6-D2E8-4FA8-8A89-79D8C1E68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欺凌、骚扰、歧视和暴力的定义 – Fact sheet: Definitions of bullying, harassment and discrimination</dc:title>
  <dc:subject>欺凌、骚扰、歧视和暴力的定义</dc:subject>
  <dc:creator>Australian Education Authorities / The State of Queensland</dc:creator>
  <cp:keywords/>
  <dc:description/>
  <cp:revision>7</cp:revision>
  <cp:lastPrinted>2023-05-17T13:54:00Z</cp:lastPrinted>
  <dcterms:created xsi:type="dcterms:W3CDTF">2023-07-05T06:19:00Z</dcterms:created>
  <dcterms:modified xsi:type="dcterms:W3CDTF">2023-07-06T01:38:00Z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0x010100E1B604D8DD74AA40B64093DE53A71933</vt:lpwstr>
  </property>
  <property fmtid="{D5CDD505-2E9C-101B-9397-08002B2CF9AE}" pid="3" name="MediaServiceImageTags">
    <vt:lpwstr/>
  </property>
</Properties>
</file>