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FAA5" w14:textId="77777777" w:rsidR="0054737B" w:rsidRPr="0054737B" w:rsidRDefault="0054737B" w:rsidP="00210863">
      <w:pPr>
        <w:kinsoku w:val="0"/>
        <w:overflowPunct w:val="0"/>
        <w:ind w:right="671"/>
        <w:jc w:val="center"/>
        <w:rPr>
          <w:rFonts w:asciiTheme="majorHAnsi" w:hAnsiTheme="majorHAnsi" w:cstheme="majorHAnsi"/>
          <w:sz w:val="70"/>
          <w:szCs w:val="70"/>
        </w:rPr>
      </w:pP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डराने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>-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धमकाने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और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हिंसा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भरे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व्यवहार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के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बारे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में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मुख्य</w:t>
      </w:r>
      <w:r w:rsidRPr="0054737B">
        <w:rPr>
          <w:rFonts w:asciiTheme="majorHAnsi" w:eastAsia="Arial Unicode MS" w:hAnsiTheme="majorHAnsi" w:cstheme="majorHAnsi"/>
          <w:b/>
          <w:bCs/>
          <w:spacing w:val="-1"/>
          <w:sz w:val="70"/>
          <w:szCs w:val="70"/>
          <w:cs/>
        </w:rPr>
        <w:t xml:space="preserve"> </w:t>
      </w:r>
      <w:r w:rsidRPr="0054737B">
        <w:rPr>
          <w:rFonts w:ascii="Nirmala UI" w:eastAsia="Arial Unicode MS" w:hAnsi="Nirmala UI" w:cs="Nirmala UI" w:hint="cs"/>
          <w:b/>
          <w:bCs/>
          <w:spacing w:val="-1"/>
          <w:sz w:val="70"/>
          <w:szCs w:val="70"/>
          <w:cs/>
        </w:rPr>
        <w:t>तथ्य</w:t>
      </w:r>
    </w:p>
    <w:p w14:paraId="494CC3E8" w14:textId="77777777" w:rsidR="006E5C93" w:rsidRPr="006E5C93" w:rsidRDefault="006E5C93" w:rsidP="006E5C93">
      <w:pPr>
        <w:kinsoku w:val="0"/>
        <w:overflowPunct w:val="0"/>
        <w:spacing w:before="2" w:line="280" w:lineRule="exact"/>
        <w:jc w:val="both"/>
        <w:rPr>
          <w:rFonts w:cstheme="minorHAnsi"/>
        </w:rPr>
      </w:pPr>
    </w:p>
    <w:p w14:paraId="498E8CF0" w14:textId="77777777" w:rsidR="00170582" w:rsidRPr="00170582" w:rsidRDefault="00170582" w:rsidP="00170582">
      <w:pPr>
        <w:pStyle w:val="BodyText"/>
        <w:kinsoku w:val="0"/>
        <w:overflowPunct w:val="0"/>
        <w:spacing w:line="239" w:lineRule="auto"/>
        <w:jc w:val="both"/>
        <w:rPr>
          <w:rFonts w:eastAsia="Arial Unicode MS" w:cstheme="minorHAnsi"/>
          <w:spacing w:val="-1"/>
        </w:rPr>
      </w:pPr>
    </w:p>
    <w:p w14:paraId="528AEE22" w14:textId="77777777" w:rsidR="006E5C93" w:rsidRPr="007941B3" w:rsidRDefault="006E5C93" w:rsidP="006E5C93">
      <w:pPr>
        <w:pStyle w:val="Heading1"/>
        <w:kinsoku w:val="0"/>
        <w:overflowPunct w:val="0"/>
        <w:rPr>
          <w:rFonts w:ascii="Nirmala UI" w:eastAsia="Arial Unicode MS" w:hAnsi="Nirmala UI" w:cs="Nirmala UI"/>
          <w:spacing w:val="-1"/>
          <w:sz w:val="50"/>
          <w:szCs w:val="50"/>
        </w:rPr>
      </w:pPr>
      <w:r w:rsidRPr="007941B3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डराना</w:t>
      </w:r>
      <w:r w:rsidRPr="007941B3">
        <w:rPr>
          <w:rFonts w:ascii="Nirmala UI" w:eastAsia="Arial Unicode MS" w:hAnsi="Nirmala UI" w:cs="Nirmala UI"/>
          <w:spacing w:val="-1"/>
          <w:sz w:val="50"/>
          <w:szCs w:val="50"/>
          <w:cs/>
        </w:rPr>
        <w:t>-</w:t>
      </w:r>
      <w:r w:rsidRPr="007941B3">
        <w:rPr>
          <w:rFonts w:ascii="Nirmala UI" w:eastAsia="Arial Unicode MS" w:hAnsi="Nirmala UI" w:cs="Nirmala UI" w:hint="cs"/>
          <w:spacing w:val="-1"/>
          <w:sz w:val="50"/>
          <w:szCs w:val="50"/>
          <w:cs/>
        </w:rPr>
        <w:t>धमकाना</w:t>
      </w:r>
    </w:p>
    <w:p w14:paraId="2CAB88CC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कक्षा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4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कक्षा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9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पढ़ने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वाले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प्रत्येक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चार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ऑस्ट्रेलियन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एक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(27%)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स्कूल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अंतिम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टर्म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दौरान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हरेक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चंद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सप्ताहों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इससे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अधिक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बार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(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बारंबार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जाना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वाला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)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उन्हें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डराए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धमकाए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सूचना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देता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है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4BABD73F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1A6D5D43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 w:hint="eastAsia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स्कूल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बारंबार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डराए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धमकाए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घटनाएँ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कक्षा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5 (32%)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और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कक्षा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8 (29%)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सबसे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अधिक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थी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709F90DA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34850045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 w:hint="eastAsia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दूसरे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को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ऑनलाइन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तरीके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डराने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वाले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83%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उन्हें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ऑफ़लाइन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तरीके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</w:p>
    <w:p w14:paraId="6D682151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भी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डराते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धमकाते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हैं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4ED320DA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14A031ED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 w:hint="eastAsia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जिन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को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ऑनलाइन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तरीके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डराया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गया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उनमें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84%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को</w:t>
      </w:r>
      <w:proofErr w:type="spellEnd"/>
    </w:p>
    <w:p w14:paraId="60A805B2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proofErr w:type="spellStart"/>
      <w:r w:rsidRPr="0054737B">
        <w:rPr>
          <w:rFonts w:ascii="Nirmala UI" w:eastAsia="Arial Unicode MS" w:hAnsi="Nirmala UI" w:cs="Nirmala UI"/>
          <w:spacing w:val="-1"/>
        </w:rPr>
        <w:t>ऑफ़लाइन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तरीके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भी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डराया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गया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था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28EF6B23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03EDDFA8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 w:hint="eastAsia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डराने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87%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घटनाओं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मित्र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समूह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दर्शक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उपस्थित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,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और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उन्होंने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डराने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प्रक्रिया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केन्द्रीय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भूमिका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निभाई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थी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57A9DD83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2AA3CE3F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 w:hint="eastAsia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द्वारा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अनुभव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किए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वाले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डराने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धमकाने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व्यवहारों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हानिकारक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छेड़छाड़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सबसे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अधिक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प्रचलित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,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जिसके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बाद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उनके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बारे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हानिकारक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झूठ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बोले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जाने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घटनाएँ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शामिल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थी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692C10B0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5A892CEB" w14:textId="77777777" w:rsidR="0054737B" w:rsidRPr="0054737B" w:rsidRDefault="0054737B" w:rsidP="0054737B">
      <w:pPr>
        <w:pStyle w:val="BodyText"/>
        <w:tabs>
          <w:tab w:val="left" w:pos="284"/>
        </w:tabs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  <w:r w:rsidRPr="0054737B">
        <w:rPr>
          <w:rFonts w:ascii="Arial Unicode MS" w:eastAsia="Arial Unicode MS" w:hAnsi="Arial Unicode MS" w:cs="Arial Unicode MS" w:hint="eastAsia"/>
          <w:spacing w:val="-1"/>
        </w:rPr>
        <w:t>•</w:t>
      </w:r>
      <w:r w:rsidRPr="0054737B">
        <w:rPr>
          <w:rFonts w:ascii="Arial Unicode MS" w:eastAsia="Arial Unicode MS" w:hAnsi="Arial Unicode MS" w:cs="Arial Unicode MS"/>
          <w:spacing w:val="-1"/>
        </w:rPr>
        <w:tab/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साइबर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बुलिंग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आयु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(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या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प्रौद्योगिकी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तक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पहुँच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)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संबंधित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प्रतीत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होती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है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,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और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छोटे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तुलना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बड़े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विद्यार्थियों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साइबर</w:t>
      </w:r>
      <w:r w:rsidRPr="0054737B">
        <w:rPr>
          <w:rFonts w:ascii="Arial Unicode MS" w:eastAsia="Arial Unicode MS" w:hAnsi="Arial Unicode MS" w:cs="Arial Unicode MS"/>
          <w:spacing w:val="-1"/>
        </w:rPr>
        <w:t>-</w:t>
      </w:r>
      <w:r w:rsidRPr="0054737B">
        <w:rPr>
          <w:rFonts w:ascii="Nirmala UI" w:eastAsia="Arial Unicode MS" w:hAnsi="Nirmala UI" w:cs="Nirmala UI"/>
          <w:spacing w:val="-1"/>
        </w:rPr>
        <w:t>बुलिंग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में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शामिल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होने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संभावना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अधिक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होती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है</w:t>
      </w:r>
      <w:proofErr w:type="spellEnd"/>
      <w:r w:rsidRPr="0054737B">
        <w:rPr>
          <w:rFonts w:ascii="Nirmala UI" w:eastAsia="Arial Unicode MS" w:hAnsi="Nirmala UI" w:cs="Nirmala UI"/>
          <w:spacing w:val="-1"/>
        </w:rPr>
        <w:t>।</w:t>
      </w:r>
    </w:p>
    <w:p w14:paraId="5B8D0C4F" w14:textId="77777777" w:rsidR="0054737B" w:rsidRPr="0054737B" w:rsidRDefault="0054737B" w:rsidP="0054737B">
      <w:pPr>
        <w:pStyle w:val="BodyText"/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</w:rPr>
      </w:pPr>
    </w:p>
    <w:p w14:paraId="048DBA81" w14:textId="4D1E23D7" w:rsidR="00B675CC" w:rsidRDefault="0054737B" w:rsidP="0054737B">
      <w:pPr>
        <w:pStyle w:val="BodyText"/>
        <w:kinsoku w:val="0"/>
        <w:overflowPunct w:val="0"/>
        <w:spacing w:before="33" w:line="241" w:lineRule="auto"/>
        <w:rPr>
          <w:rFonts w:ascii="Arial Unicode MS" w:eastAsia="Arial Unicode MS" w:hAnsi="Arial Unicode MS" w:cs="Arial Unicode MS"/>
          <w:spacing w:val="-1"/>
          <w:cs/>
        </w:rPr>
      </w:pPr>
      <w:r w:rsidRPr="0054737B">
        <w:rPr>
          <w:rFonts w:ascii="Arial Unicode MS" w:eastAsia="Arial Unicode MS" w:hAnsi="Arial Unicode MS" w:cs="Arial Unicode MS"/>
          <w:spacing w:val="-1"/>
        </w:rPr>
        <w:t>(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स्रोत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>: Cross, D., Shaw, T., Hearn, L., Epstein, M., Monks, H., Lester, L., &amp; Thomas, L. 2009. Australian Covert Bullying Prevalence Study (ACBPS). Child Health Promotion Research Centre [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बाल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स्वास्थ्य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प्रसार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अनुसंधान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केन्द्र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],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एडिथ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कोवान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 </w:t>
      </w:r>
      <w:proofErr w:type="spellStart"/>
      <w:r w:rsidRPr="0054737B">
        <w:rPr>
          <w:rFonts w:ascii="Nirmala UI" w:eastAsia="Arial Unicode MS" w:hAnsi="Nirmala UI" w:cs="Nirmala UI"/>
          <w:spacing w:val="-1"/>
        </w:rPr>
        <w:t>यूनिवर्सिटी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 xml:space="preserve">, </w:t>
      </w:r>
      <w:proofErr w:type="spellStart"/>
      <w:proofErr w:type="gramStart"/>
      <w:r w:rsidRPr="0054737B">
        <w:rPr>
          <w:rFonts w:ascii="Nirmala UI" w:eastAsia="Arial Unicode MS" w:hAnsi="Nirmala UI" w:cs="Nirmala UI"/>
          <w:spacing w:val="-1"/>
        </w:rPr>
        <w:t>पर्थ</w:t>
      </w:r>
      <w:proofErr w:type="spellEnd"/>
      <w:r w:rsidRPr="0054737B">
        <w:rPr>
          <w:rFonts w:ascii="Arial Unicode MS" w:eastAsia="Arial Unicode MS" w:hAnsi="Arial Unicode MS" w:cs="Arial Unicode MS"/>
          <w:spacing w:val="-1"/>
        </w:rPr>
        <w:t>)</w:t>
      </w:r>
      <w:r w:rsidRPr="0054737B">
        <w:rPr>
          <w:rFonts w:ascii="Nirmala UI" w:eastAsia="Arial Unicode MS" w:hAnsi="Nirmala UI" w:cs="Nirmala UI"/>
          <w:spacing w:val="-1"/>
        </w:rPr>
        <w:t>।</w:t>
      </w:r>
      <w:proofErr w:type="gramEnd"/>
    </w:p>
    <w:p w14:paraId="3243B041" w14:textId="77777777" w:rsidR="00B675CC" w:rsidRPr="007941B3" w:rsidRDefault="00B675CC" w:rsidP="00B675CC">
      <w:pPr>
        <w:pStyle w:val="BodyText"/>
        <w:kinsoku w:val="0"/>
        <w:overflowPunct w:val="0"/>
        <w:spacing w:before="33" w:line="241" w:lineRule="auto"/>
      </w:pPr>
    </w:p>
    <w:p w14:paraId="136A50BC" w14:textId="52841131" w:rsidR="00C6292A" w:rsidRPr="007941B3" w:rsidRDefault="00170582" w:rsidP="00170582">
      <w:pPr>
        <w:pStyle w:val="Heading1"/>
        <w:kinsoku w:val="0"/>
        <w:overflowPunct w:val="0"/>
        <w:rPr>
          <w:rFonts w:ascii="Nirmala UI" w:eastAsia="Arial Unicode MS" w:hAnsi="Nirmala UI" w:cs="Nirmala UI"/>
          <w:b w:val="0"/>
          <w:bCs/>
          <w:spacing w:val="-1"/>
          <w:sz w:val="50"/>
          <w:szCs w:val="50"/>
        </w:rPr>
      </w:pPr>
      <w:proofErr w:type="spellStart"/>
      <w:r w:rsidRPr="007941B3">
        <w:rPr>
          <w:rFonts w:ascii="Nirmala UI" w:eastAsia="Arial Unicode MS" w:hAnsi="Nirmala UI" w:cs="Nirmala UI"/>
          <w:b w:val="0"/>
          <w:bCs/>
          <w:spacing w:val="-1"/>
          <w:sz w:val="50"/>
          <w:szCs w:val="50"/>
        </w:rPr>
        <w:lastRenderedPageBreak/>
        <w:t>हिंसा</w:t>
      </w:r>
      <w:proofErr w:type="spellEnd"/>
    </w:p>
    <w:p w14:paraId="3D1300B7" w14:textId="77777777" w:rsidR="0054737B" w:rsidRPr="007941B3" w:rsidRDefault="0054737B" w:rsidP="0054737B">
      <w:pPr>
        <w:pStyle w:val="BodyText"/>
        <w:tabs>
          <w:tab w:val="left" w:pos="284"/>
        </w:tabs>
      </w:pPr>
      <w:r w:rsidRPr="007941B3">
        <w:t>•</w:t>
      </w:r>
      <w:r w:rsidRPr="007941B3">
        <w:tab/>
      </w:r>
      <w:proofErr w:type="spellStart"/>
      <w:r w:rsidRPr="0054737B">
        <w:rPr>
          <w:rFonts w:ascii="Nirmala UI" w:hAnsi="Nirmala UI" w:cs="Nirmala UI"/>
        </w:rPr>
        <w:t>बच्चों</w:t>
      </w:r>
      <w:proofErr w:type="spellEnd"/>
      <w:r w:rsidRPr="007941B3">
        <w:t xml:space="preserve"> </w:t>
      </w:r>
      <w:r w:rsidRPr="0054737B">
        <w:rPr>
          <w:rFonts w:ascii="Nirmala UI" w:hAnsi="Nirmala UI" w:cs="Nirmala UI"/>
        </w:rPr>
        <w:t>व</w:t>
      </w:r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युवा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लोगों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अधिकांश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संख्या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पीड़ितों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या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अपराधकर्ता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तौर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पर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हिंसा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शामिल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नहीं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होती</w:t>
      </w:r>
      <w:proofErr w:type="spellEnd"/>
      <w:r w:rsidRPr="007941B3">
        <w:t xml:space="preserve"> </w:t>
      </w:r>
      <w:proofErr w:type="spellStart"/>
      <w:r w:rsidRPr="0054737B">
        <w:rPr>
          <w:rFonts w:ascii="Nirmala UI" w:hAnsi="Nirmala UI" w:cs="Nirmala UI"/>
        </w:rPr>
        <w:t>है</w:t>
      </w:r>
      <w:proofErr w:type="spellEnd"/>
      <w:r w:rsidRPr="0054737B">
        <w:rPr>
          <w:rFonts w:ascii="Nirmala UI" w:hAnsi="Nirmala UI" w:cs="Nirmala UI"/>
        </w:rPr>
        <w:t>।</w:t>
      </w:r>
    </w:p>
    <w:p w14:paraId="1D0F3769" w14:textId="77777777" w:rsidR="0054737B" w:rsidRPr="007941B3" w:rsidRDefault="0054737B" w:rsidP="0054737B">
      <w:pPr>
        <w:pStyle w:val="BodyText"/>
        <w:tabs>
          <w:tab w:val="left" w:pos="284"/>
        </w:tabs>
      </w:pPr>
    </w:p>
    <w:p w14:paraId="6BCD8332" w14:textId="77777777" w:rsidR="0054737B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  <w:r w:rsidRPr="0054737B">
        <w:rPr>
          <w:lang w:val="fr-FR"/>
        </w:rPr>
        <w:t>(</w:t>
      </w:r>
      <w:proofErr w:type="spellStart"/>
      <w:proofErr w:type="gramStart"/>
      <w:r w:rsidRPr="0054737B">
        <w:rPr>
          <w:rFonts w:ascii="Nirmala UI" w:hAnsi="Nirmala UI" w:cs="Nirmala UI"/>
        </w:rPr>
        <w:t>स्रोत</w:t>
      </w:r>
      <w:proofErr w:type="spellEnd"/>
      <w:r w:rsidRPr="0054737B">
        <w:rPr>
          <w:lang w:val="fr-FR"/>
        </w:rPr>
        <w:t>:</w:t>
      </w:r>
      <w:proofErr w:type="spellStart"/>
      <w:r w:rsidRPr="0054737B">
        <w:rPr>
          <w:rFonts w:ascii="Nirmala UI" w:hAnsi="Nirmala UI" w:cs="Nirmala UI"/>
        </w:rPr>
        <w:t>कमीशनर</w:t>
      </w:r>
      <w:proofErr w:type="spellEnd"/>
      <w:proofErr w:type="gram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फॉर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चिल्ड्रन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एंड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यंग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पीपल</w:t>
      </w:r>
      <w:proofErr w:type="spellEnd"/>
      <w:r w:rsidRPr="0054737B">
        <w:rPr>
          <w:lang w:val="fr-FR"/>
        </w:rPr>
        <w:t xml:space="preserve">, </w:t>
      </w:r>
      <w:proofErr w:type="spellStart"/>
      <w:r w:rsidRPr="0054737B">
        <w:rPr>
          <w:rFonts w:ascii="Nirmala UI" w:hAnsi="Nirmala UI" w:cs="Nirmala UI"/>
        </w:rPr>
        <w:t>वेस्टर्न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ऑस्ट्रेलिया</w:t>
      </w:r>
      <w:proofErr w:type="spellEnd"/>
      <w:r w:rsidRPr="0054737B">
        <w:rPr>
          <w:lang w:val="fr-FR"/>
        </w:rPr>
        <w:t xml:space="preserve"> (2009), </w:t>
      </w:r>
      <w:proofErr w:type="spellStart"/>
      <w:r w:rsidRPr="0054737B">
        <w:rPr>
          <w:rFonts w:ascii="Nirmala UI" w:hAnsi="Nirmala UI" w:cs="Nirmala UI"/>
        </w:rPr>
        <w:t>युवा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ऑस्ट्रेलियन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लोगों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खिलाफ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जाने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वाली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हिंसा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प्रभावों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राष्ट्रीय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जाँच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सब्मिशन</w:t>
      </w:r>
      <w:proofErr w:type="spellEnd"/>
      <w:r w:rsidRPr="0054737B">
        <w:rPr>
          <w:rFonts w:ascii="Nirmala UI" w:hAnsi="Nirmala UI" w:cs="Nirmala UI"/>
        </w:rPr>
        <w:t>।</w:t>
      </w:r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सब्मिशन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नम्बर</w:t>
      </w:r>
      <w:proofErr w:type="spellEnd"/>
      <w:r w:rsidRPr="0054737B">
        <w:rPr>
          <w:lang w:val="fr-FR"/>
        </w:rPr>
        <w:t xml:space="preserve"> 33)</w:t>
      </w:r>
      <w:r w:rsidRPr="0054737B">
        <w:rPr>
          <w:rFonts w:ascii="Nirmala UI" w:hAnsi="Nirmala UI" w:cs="Nirmala UI"/>
        </w:rPr>
        <w:t>।</w:t>
      </w:r>
    </w:p>
    <w:p w14:paraId="462EFD04" w14:textId="77777777" w:rsidR="0054737B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</w:p>
    <w:p w14:paraId="13AD5301" w14:textId="77777777" w:rsidR="0054737B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  <w:r w:rsidRPr="0054737B">
        <w:rPr>
          <w:rFonts w:hint="eastAsia"/>
          <w:lang w:val="fr-FR"/>
        </w:rPr>
        <w:t>•</w:t>
      </w:r>
      <w:r w:rsidRPr="0054737B">
        <w:rPr>
          <w:lang w:val="fr-FR"/>
        </w:rPr>
        <w:tab/>
      </w:r>
      <w:proofErr w:type="spellStart"/>
      <w:r w:rsidRPr="0054737B">
        <w:rPr>
          <w:rFonts w:ascii="Nirmala UI" w:hAnsi="Nirmala UI" w:cs="Nirmala UI"/>
        </w:rPr>
        <w:t>यद्यपि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अक्सर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युवा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लोगों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को</w:t>
      </w:r>
      <w:proofErr w:type="spellEnd"/>
      <w:r w:rsidRPr="0054737B">
        <w:rPr>
          <w:lang w:val="fr-FR"/>
        </w:rPr>
        <w:t xml:space="preserve"> </w:t>
      </w:r>
      <w:proofErr w:type="spellStart"/>
      <w:proofErr w:type="gramStart"/>
      <w:r w:rsidRPr="0054737B">
        <w:rPr>
          <w:rFonts w:ascii="Nirmala UI" w:hAnsi="Nirmala UI" w:cs="Nirmala UI"/>
        </w:rPr>
        <w:t>मुख्यत</w:t>
      </w:r>
      <w:proofErr w:type="spellEnd"/>
      <w:r w:rsidRPr="0054737B">
        <w:rPr>
          <w:lang w:val="fr-FR"/>
        </w:rPr>
        <w:t>:</w:t>
      </w:r>
      <w:proofErr w:type="gram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हिंसा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करने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वालों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तौर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समझा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जाता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है</w:t>
      </w:r>
      <w:proofErr w:type="spellEnd"/>
      <w:r w:rsidRPr="0054737B">
        <w:rPr>
          <w:lang w:val="fr-FR"/>
        </w:rPr>
        <w:t xml:space="preserve">, </w:t>
      </w:r>
      <w:proofErr w:type="spellStart"/>
      <w:r w:rsidRPr="0054737B">
        <w:rPr>
          <w:rFonts w:ascii="Nirmala UI" w:hAnsi="Nirmala UI" w:cs="Nirmala UI"/>
        </w:rPr>
        <w:t>पर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इन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लोगों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वास्तव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हिंसा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शिकार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होने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खतरा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सबसे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अधिक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होता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है</w:t>
      </w:r>
      <w:proofErr w:type="spellEnd"/>
      <w:r w:rsidRPr="0054737B">
        <w:rPr>
          <w:rFonts w:ascii="Nirmala UI" w:hAnsi="Nirmala UI" w:cs="Nirmala UI"/>
        </w:rPr>
        <w:t>।</w:t>
      </w:r>
    </w:p>
    <w:p w14:paraId="7B560AF3" w14:textId="77777777" w:rsidR="0054737B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</w:p>
    <w:p w14:paraId="2EEF1852" w14:textId="77777777" w:rsidR="0054737B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  <w:r w:rsidRPr="0054737B">
        <w:rPr>
          <w:rFonts w:hint="eastAsia"/>
          <w:lang w:val="fr-FR"/>
        </w:rPr>
        <w:t>•</w:t>
      </w:r>
      <w:r w:rsidRPr="0054737B">
        <w:rPr>
          <w:lang w:val="fr-FR"/>
        </w:rPr>
        <w:tab/>
      </w:r>
      <w:proofErr w:type="spellStart"/>
      <w:r w:rsidRPr="0054737B">
        <w:rPr>
          <w:rFonts w:ascii="Nirmala UI" w:hAnsi="Nirmala UI" w:cs="Nirmala UI"/>
        </w:rPr>
        <w:t>युवा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लोग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खुद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अपनी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स्वयं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निजी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सुरक्षा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को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लेकर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चिंतित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होते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हैं</w:t>
      </w:r>
      <w:proofErr w:type="spellEnd"/>
      <w:r w:rsidRPr="0054737B">
        <w:rPr>
          <w:lang w:val="fr-FR"/>
        </w:rPr>
        <w:t xml:space="preserve">, </w:t>
      </w:r>
      <w:proofErr w:type="spellStart"/>
      <w:r w:rsidRPr="0054737B">
        <w:rPr>
          <w:rFonts w:ascii="Nirmala UI" w:hAnsi="Nirmala UI" w:cs="Nirmala UI"/>
        </w:rPr>
        <w:t>और</w:t>
      </w:r>
      <w:proofErr w:type="spellEnd"/>
      <w:r w:rsidRPr="0054737B">
        <w:rPr>
          <w:lang w:val="fr-FR"/>
        </w:rPr>
        <w:t xml:space="preserve"> 18 </w:t>
      </w:r>
      <w:proofErr w:type="spellStart"/>
      <w:r w:rsidRPr="0054737B">
        <w:rPr>
          <w:rFonts w:ascii="Nirmala UI" w:hAnsi="Nirmala UI" w:cs="Nirmala UI"/>
        </w:rPr>
        <w:t>से</w:t>
      </w:r>
      <w:proofErr w:type="spellEnd"/>
      <w:r w:rsidRPr="0054737B">
        <w:rPr>
          <w:lang w:val="fr-FR"/>
        </w:rPr>
        <w:t xml:space="preserve"> 24 </w:t>
      </w:r>
      <w:proofErr w:type="spellStart"/>
      <w:r w:rsidRPr="0054737B">
        <w:rPr>
          <w:rFonts w:ascii="Nirmala UI" w:hAnsi="Nirmala UI" w:cs="Nirmala UI"/>
        </w:rPr>
        <w:t>वर्ष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आयु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वाले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एक</w:t>
      </w:r>
      <w:proofErr w:type="spellEnd"/>
      <w:r w:rsidRPr="0054737B">
        <w:rPr>
          <w:lang w:val="fr-FR"/>
        </w:rPr>
        <w:t>-</w:t>
      </w:r>
      <w:proofErr w:type="spellStart"/>
      <w:r w:rsidRPr="0054737B">
        <w:rPr>
          <w:rFonts w:ascii="Nirmala UI" w:hAnsi="Nirmala UI" w:cs="Nirmala UI"/>
        </w:rPr>
        <w:t>चौथाई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युवा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लोग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अंधेरा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हो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जाने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बाद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अपने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स्थानीय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क्षेत्र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अकेले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पैदल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चलने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असुरक्षित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या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बहुत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असुरक्षित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महसूस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करते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हैं</w:t>
      </w:r>
      <w:proofErr w:type="spellEnd"/>
      <w:r w:rsidRPr="0054737B">
        <w:rPr>
          <w:lang w:val="fr-FR"/>
        </w:rPr>
        <w:t xml:space="preserve">, </w:t>
      </w:r>
      <w:proofErr w:type="spellStart"/>
      <w:r w:rsidRPr="0054737B">
        <w:rPr>
          <w:rFonts w:ascii="Nirmala UI" w:hAnsi="Nirmala UI" w:cs="Nirmala UI"/>
        </w:rPr>
        <w:t>और</w:t>
      </w:r>
      <w:proofErr w:type="spellEnd"/>
      <w:r w:rsidRPr="0054737B">
        <w:rPr>
          <w:lang w:val="fr-FR"/>
        </w:rPr>
        <w:t xml:space="preserve"> 10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से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लगभग</w:t>
      </w:r>
      <w:proofErr w:type="spellEnd"/>
      <w:r w:rsidRPr="0054737B">
        <w:rPr>
          <w:lang w:val="fr-FR"/>
        </w:rPr>
        <w:t xml:space="preserve"> 1 </w:t>
      </w:r>
      <w:proofErr w:type="spellStart"/>
      <w:r w:rsidRPr="0054737B">
        <w:rPr>
          <w:rFonts w:ascii="Nirmala UI" w:hAnsi="Nirmala UI" w:cs="Nirmala UI"/>
        </w:rPr>
        <w:t>रात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अपने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घरों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में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असुरक्षित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महसूस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करते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हैं</w:t>
      </w:r>
      <w:proofErr w:type="spellEnd"/>
      <w:r w:rsidRPr="0054737B">
        <w:rPr>
          <w:rFonts w:ascii="Nirmala UI" w:hAnsi="Nirmala UI" w:cs="Nirmala UI"/>
        </w:rPr>
        <w:t>।</w:t>
      </w:r>
    </w:p>
    <w:p w14:paraId="2584C800" w14:textId="77777777" w:rsidR="0054737B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</w:p>
    <w:p w14:paraId="7771DE17" w14:textId="71F9630A" w:rsidR="00170582" w:rsidRPr="0054737B" w:rsidRDefault="0054737B" w:rsidP="0054737B">
      <w:pPr>
        <w:pStyle w:val="BodyText"/>
        <w:tabs>
          <w:tab w:val="left" w:pos="284"/>
        </w:tabs>
        <w:rPr>
          <w:lang w:val="fr-FR"/>
        </w:rPr>
      </w:pPr>
      <w:r w:rsidRPr="0054737B">
        <w:rPr>
          <w:lang w:val="fr-FR"/>
        </w:rPr>
        <w:t>(</w:t>
      </w:r>
      <w:proofErr w:type="spellStart"/>
      <w:proofErr w:type="gramStart"/>
      <w:r w:rsidRPr="0054737B">
        <w:rPr>
          <w:rFonts w:ascii="Nirmala UI" w:hAnsi="Nirmala UI" w:cs="Nirmala UI"/>
        </w:rPr>
        <w:t>स्रोत</w:t>
      </w:r>
      <w:proofErr w:type="spellEnd"/>
      <w:r w:rsidRPr="0054737B">
        <w:rPr>
          <w:lang w:val="fr-FR"/>
        </w:rPr>
        <w:t>:</w:t>
      </w:r>
      <w:proofErr w:type="gram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पार्लियामेंट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ऑफ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दि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कॉमनवेल्थ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ऑफ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ऑस्ट्रेलिया</w:t>
      </w:r>
      <w:proofErr w:type="spellEnd"/>
      <w:r w:rsidRPr="0054737B">
        <w:rPr>
          <w:lang w:val="fr-FR"/>
        </w:rPr>
        <w:t xml:space="preserve">, </w:t>
      </w:r>
      <w:proofErr w:type="spellStart"/>
      <w:r w:rsidRPr="0054737B">
        <w:rPr>
          <w:rFonts w:ascii="Nirmala UI" w:hAnsi="Nirmala UI" w:cs="Nirmala UI"/>
        </w:rPr>
        <w:t>युवा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ऑस्ट्रेलियन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लोगों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खिलाफ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जाने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वाली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हिंसा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के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प्रभावों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पर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जाँच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की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lang w:val="fr-FR"/>
        </w:rPr>
        <w:t>Avoid</w:t>
      </w:r>
      <w:proofErr w:type="spellEnd"/>
      <w:r w:rsidRPr="0054737B">
        <w:rPr>
          <w:lang w:val="fr-FR"/>
        </w:rPr>
        <w:t xml:space="preserve"> the </w:t>
      </w:r>
      <w:proofErr w:type="spellStart"/>
      <w:r w:rsidRPr="0054737B">
        <w:rPr>
          <w:lang w:val="fr-FR"/>
        </w:rPr>
        <w:t>Harm</w:t>
      </w:r>
      <w:proofErr w:type="spellEnd"/>
      <w:r w:rsidRPr="0054737B">
        <w:rPr>
          <w:lang w:val="fr-FR"/>
        </w:rPr>
        <w:t xml:space="preserve"> - </w:t>
      </w:r>
      <w:proofErr w:type="spellStart"/>
      <w:r w:rsidRPr="0054737B">
        <w:rPr>
          <w:lang w:val="fr-FR"/>
        </w:rPr>
        <w:t>Stay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lang w:val="fr-FR"/>
        </w:rPr>
        <w:t>Calm</w:t>
      </w:r>
      <w:proofErr w:type="spellEnd"/>
      <w:r w:rsidRPr="0054737B">
        <w:rPr>
          <w:lang w:val="fr-FR"/>
        </w:rPr>
        <w:t xml:space="preserve"> </w:t>
      </w:r>
      <w:proofErr w:type="spellStart"/>
      <w:r w:rsidRPr="0054737B">
        <w:rPr>
          <w:rFonts w:ascii="Nirmala UI" w:hAnsi="Nirmala UI" w:cs="Nirmala UI"/>
        </w:rPr>
        <w:t>रिपोर्ट</w:t>
      </w:r>
      <w:proofErr w:type="spellEnd"/>
      <w:r w:rsidRPr="0054737B">
        <w:rPr>
          <w:lang w:val="fr-FR"/>
        </w:rPr>
        <w:t>)</w:t>
      </w:r>
      <w:r w:rsidRPr="0054737B">
        <w:rPr>
          <w:rFonts w:ascii="Nirmala UI" w:hAnsi="Nirmala UI" w:cs="Nirmala UI"/>
        </w:rPr>
        <w:t>।</w:t>
      </w:r>
    </w:p>
    <w:sectPr w:rsidR="00170582" w:rsidRPr="0054737B" w:rsidSect="001D39EA">
      <w:headerReference w:type="default" r:id="rId12"/>
      <w:footerReference w:type="default" r:id="rId13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97A9" w14:textId="77777777" w:rsidR="006A2323" w:rsidRDefault="006A2323" w:rsidP="002B7185">
      <w:r>
        <w:pict w14:anchorId="1DBB341C">
          <v:rect id="_x0000_i1027" style="width:0;height:1.5pt" o:hralign="center" o:hrstd="t" o:hr="t" fillcolor="#a0a0a0" stroked="f"/>
        </w:pict>
      </w:r>
    </w:p>
    <w:p w14:paraId="78B91D96" w14:textId="77777777" w:rsidR="006A2323" w:rsidRDefault="006A2323" w:rsidP="002B7185"/>
  </w:endnote>
  <w:endnote w:type="continuationSeparator" w:id="0">
    <w:p w14:paraId="4F5832E6" w14:textId="77777777" w:rsidR="006A2323" w:rsidRDefault="006A2323" w:rsidP="002B7185">
      <w:r>
        <w:pict w14:anchorId="31CAD7F6">
          <v:rect id="_x0000_i1028" style="width:0;height:1.5pt" o:hralign="center" o:hrstd="t" o:hr="t" fillcolor="#a0a0a0" stroked="f"/>
        </w:pict>
      </w:r>
    </w:p>
    <w:p w14:paraId="05A56E83" w14:textId="77777777" w:rsidR="006A2323" w:rsidRDefault="006A2323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D96F" w14:textId="77777777" w:rsidR="006A2323" w:rsidRPr="00026DC2" w:rsidRDefault="006A2323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4E59D89E" w14:textId="77777777" w:rsidR="006A2323" w:rsidRDefault="006A2323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63118838" w14:textId="77777777" w:rsidR="006A2323" w:rsidRDefault="006A2323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8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9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2" w15:restartNumberingAfterBreak="0">
    <w:nsid w:val="395D52A8"/>
    <w:multiLevelType w:val="multilevel"/>
    <w:tmpl w:val="8CE81736"/>
    <w:name w:val="ListNumbering22"/>
    <w:numStyleLink w:val="Appendices"/>
  </w:abstractNum>
  <w:abstractNum w:abstractNumId="13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7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0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2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4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25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6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7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8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6"/>
  </w:num>
  <w:num w:numId="5">
    <w:abstractNumId w:val="16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53F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863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4737B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2323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41B3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15CB"/>
    <w:rsid w:val="00A228C8"/>
    <w:rsid w:val="00A22B60"/>
    <w:rsid w:val="00A237D9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647A"/>
    <w:rsid w:val="00C86516"/>
    <w:rsid w:val="00C8777C"/>
    <w:rsid w:val="00C9067B"/>
    <w:rsid w:val="00C91A42"/>
    <w:rsid w:val="00C92DA5"/>
    <w:rsid w:val="00C93F94"/>
    <w:rsid w:val="00C94844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3BA7E66E-8B86-4124-96C2-BFC53894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eastAsiaTheme="minorEastAsia"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CC711E2AA3F44A52EF105E44EAA01" ma:contentTypeVersion="0" ma:contentTypeDescription="Create a new document." ma:contentTypeScope="" ma:versionID="46593b1d804bd0238452179ec44afa9c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2023-08-03T06:34:18+00:00</PPModeratedDate>
    <PPLastReviewedDate xmlns="b70dd679-76a0-4ce0-858d-24cdf2777c25">2023-08-03T06:34:19+00:00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D2E9EB-D20B-4C79-BFE3-CD4F8360E3B2}"/>
</file>

<file path=customXml/itemProps3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डराने-धमकाने और हिंसा भरे व्यवहार के बारे में मुख्य तथ्य – Fact sheet: Key facts about bullying and violence</dc:title>
  <dc:subject>डराने-धमकाने और हिंसा भरे व्यवहार के बारे में मुख्य तथ्य</dc:subject>
  <dc:creator>Australian Education Authorities / The State of Queensland</dc:creator>
  <cp:keywords/>
  <dc:description/>
  <cp:revision>4</cp:revision>
  <cp:lastPrinted>2023-05-17T13:54:00Z</cp:lastPrinted>
  <dcterms:created xsi:type="dcterms:W3CDTF">2023-07-04T22:48:00Z</dcterms:created>
  <dcterms:modified xsi:type="dcterms:W3CDTF">2023-07-06T01:07:00Z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0x010100D68CC711E2AA3F44A52EF105E44EAA01</vt:lpwstr>
  </property>
  <property fmtid="{D5CDD505-2E9C-101B-9397-08002B2CF9AE}" pid="3" name="MediaServiceImageTags">
    <vt:lpwstr/>
  </property>
</Properties>
</file>