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158A" w14:textId="525C17E8" w:rsidR="00727A92" w:rsidRPr="007F6978" w:rsidRDefault="007F6978" w:rsidP="00727A92">
      <w:pPr>
        <w:pStyle w:val="Documenttitle"/>
        <w:rPr>
          <w:rFonts w:asciiTheme="majorHAnsi" w:hAnsiTheme="majorHAnsi" w:cstheme="majorHAnsi"/>
          <w:color w:val="151547"/>
          <w:sz w:val="70"/>
          <w:szCs w:val="70"/>
        </w:rPr>
      </w:pPr>
      <w:r w:rsidRPr="007F6978">
        <w:rPr>
          <w:rFonts w:asciiTheme="majorHAnsi" w:hAnsiTheme="majorHAnsi" w:cstheme="majorHAnsi"/>
          <w:color w:val="151547"/>
          <w:sz w:val="70"/>
          <w:szCs w:val="70"/>
        </w:rPr>
        <w:t xml:space="preserve">Mga </w:t>
      </w:r>
      <w:proofErr w:type="spellStart"/>
      <w:r w:rsidRPr="007F6978">
        <w:rPr>
          <w:rFonts w:asciiTheme="majorHAnsi" w:hAnsiTheme="majorHAnsi" w:cstheme="majorHAnsi"/>
          <w:color w:val="151547"/>
          <w:sz w:val="70"/>
          <w:szCs w:val="70"/>
        </w:rPr>
        <w:t>katuturan</w:t>
      </w:r>
      <w:proofErr w:type="spellEnd"/>
      <w:r w:rsidRPr="007F6978">
        <w:rPr>
          <w:rFonts w:asciiTheme="majorHAnsi" w:hAnsiTheme="majorHAnsi" w:cstheme="majorHAnsi"/>
          <w:color w:val="151547"/>
          <w:sz w:val="70"/>
          <w:szCs w:val="70"/>
        </w:rPr>
        <w:t xml:space="preserve"> ng </w:t>
      </w:r>
      <w:proofErr w:type="spellStart"/>
      <w:r w:rsidRPr="007F6978">
        <w:rPr>
          <w:rFonts w:asciiTheme="majorHAnsi" w:hAnsiTheme="majorHAnsi" w:cstheme="majorHAnsi"/>
          <w:color w:val="151547"/>
          <w:sz w:val="70"/>
          <w:szCs w:val="70"/>
        </w:rPr>
        <w:t>pananakot</w:t>
      </w:r>
      <w:proofErr w:type="spellEnd"/>
      <w:r w:rsidRPr="007F6978">
        <w:rPr>
          <w:rFonts w:asciiTheme="majorHAnsi" w:hAnsiTheme="majorHAnsi" w:cstheme="majorHAnsi"/>
          <w:color w:val="151547"/>
          <w:sz w:val="70"/>
          <w:szCs w:val="70"/>
        </w:rPr>
        <w:t xml:space="preserve">, </w:t>
      </w:r>
      <w:proofErr w:type="spellStart"/>
      <w:r w:rsidRPr="007F6978">
        <w:rPr>
          <w:rFonts w:asciiTheme="majorHAnsi" w:hAnsiTheme="majorHAnsi" w:cstheme="majorHAnsi"/>
          <w:color w:val="151547"/>
          <w:sz w:val="70"/>
          <w:szCs w:val="70"/>
        </w:rPr>
        <w:t>panligalig</w:t>
      </w:r>
      <w:proofErr w:type="spellEnd"/>
      <w:r w:rsidRPr="007F6978">
        <w:rPr>
          <w:rFonts w:asciiTheme="majorHAnsi" w:hAnsiTheme="majorHAnsi" w:cstheme="majorHAnsi"/>
          <w:color w:val="151547"/>
          <w:sz w:val="70"/>
          <w:szCs w:val="70"/>
        </w:rPr>
        <w:t xml:space="preserve"> at </w:t>
      </w:r>
      <w:proofErr w:type="spellStart"/>
      <w:r w:rsidRPr="007F6978">
        <w:rPr>
          <w:rFonts w:asciiTheme="majorHAnsi" w:hAnsiTheme="majorHAnsi" w:cstheme="majorHAnsi"/>
          <w:color w:val="151547"/>
          <w:sz w:val="70"/>
          <w:szCs w:val="70"/>
        </w:rPr>
        <w:t>pagtatangi</w:t>
      </w:r>
      <w:proofErr w:type="spellEnd"/>
      <w:r w:rsidRPr="007F6978">
        <w:rPr>
          <w:rFonts w:asciiTheme="majorHAnsi" w:hAnsiTheme="majorHAnsi" w:cstheme="majorHAnsi"/>
          <w:color w:val="151547"/>
          <w:sz w:val="70"/>
          <w:szCs w:val="70"/>
        </w:rPr>
        <w:t>-tangi</w:t>
      </w:r>
    </w:p>
    <w:p w14:paraId="2E5AADC3" w14:textId="6D634421" w:rsidR="00727A92" w:rsidRPr="007F6978" w:rsidRDefault="00727A92" w:rsidP="00727A9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panligalig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pagpapakita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pagtatangi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laban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iba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karahasan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pakikipag-ugnayan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pag-uugali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lumilikha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nagdaragdag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proofErr w:type="gramStart"/>
      <w:r w:rsidRPr="007F6978">
        <w:rPr>
          <w:color w:val="151547"/>
          <w:lang w:val="en"/>
        </w:rPr>
        <w:t>negatibong</w:t>
      </w:r>
      <w:proofErr w:type="spellEnd"/>
      <w:r w:rsidRPr="007F6978">
        <w:rPr>
          <w:color w:val="151547"/>
          <w:lang w:val="en"/>
        </w:rPr>
        <w:t xml:space="preserve">  </w:t>
      </w:r>
      <w:proofErr w:type="spellStart"/>
      <w:r w:rsidRPr="007F6978">
        <w:rPr>
          <w:color w:val="151547"/>
          <w:lang w:val="en"/>
        </w:rPr>
        <w:t>panlipunang</w:t>
      </w:r>
      <w:proofErr w:type="spellEnd"/>
      <w:proofErr w:type="gram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kapaligiran</w:t>
      </w:r>
      <w:proofErr w:type="spellEnd"/>
      <w:r w:rsidRPr="007F6978">
        <w:rPr>
          <w:color w:val="151547"/>
          <w:lang w:val="en"/>
        </w:rPr>
        <w:t xml:space="preserve">.  Lahat 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komunidad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paaralan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dapat</w:t>
      </w:r>
      <w:proofErr w:type="spellEnd"/>
      <w:r w:rsidRPr="007F6978">
        <w:rPr>
          <w:color w:val="151547"/>
          <w:lang w:val="en"/>
        </w:rPr>
        <w:t xml:space="preserve"> may </w:t>
      </w:r>
      <w:proofErr w:type="spellStart"/>
      <w:r w:rsidRPr="007F6978">
        <w:rPr>
          <w:color w:val="151547"/>
          <w:lang w:val="en"/>
        </w:rPr>
        <w:t>malilinaw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pangangahulugan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nakabalangkas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patakaran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pamamaraan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kanilang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paaralan</w:t>
      </w:r>
      <w:proofErr w:type="spellEnd"/>
      <w:r w:rsidRPr="007F6978">
        <w:rPr>
          <w:color w:val="151547"/>
          <w:lang w:val="en"/>
        </w:rPr>
        <w:t xml:space="preserve"> para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panliligalig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pagpapakita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pagtatangi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laban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iba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karahasan</w:t>
      </w:r>
      <w:proofErr w:type="spellEnd"/>
    </w:p>
    <w:p w14:paraId="21CFA658" w14:textId="77777777" w:rsidR="00727A92" w:rsidRPr="007F6978" w:rsidRDefault="00727A92" w:rsidP="00727A92">
      <w:pPr>
        <w:pStyle w:val="Documenttitle"/>
        <w:rPr>
          <w:rFonts w:asciiTheme="majorHAnsi" w:hAnsiTheme="majorHAnsi" w:cstheme="majorHAnsi"/>
          <w:color w:val="151547"/>
          <w:sz w:val="2"/>
          <w:szCs w:val="2"/>
          <w:lang w:val="en"/>
        </w:rPr>
      </w:pPr>
    </w:p>
    <w:p w14:paraId="32A25D0A" w14:textId="2917DE39" w:rsidR="00C6292A" w:rsidRPr="007F6978" w:rsidRDefault="00727A92" w:rsidP="006422FA">
      <w:pPr>
        <w:pStyle w:val="Heading2"/>
        <w:rPr>
          <w:color w:val="151547"/>
        </w:rPr>
      </w:pPr>
      <w:proofErr w:type="spellStart"/>
      <w:r w:rsidRPr="007F6978">
        <w:rPr>
          <w:color w:val="151547"/>
        </w:rPr>
        <w:t>Pananakot</w:t>
      </w:r>
      <w:proofErr w:type="spellEnd"/>
      <w:r w:rsidRPr="007F6978">
        <w:rPr>
          <w:color w:val="151547"/>
        </w:rPr>
        <w:t xml:space="preserve"> </w:t>
      </w:r>
    </w:p>
    <w:p w14:paraId="1C77AB94" w14:textId="77777777" w:rsidR="00727A92" w:rsidRPr="007F6978" w:rsidRDefault="00727A92" w:rsidP="00727A9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pambansang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pakahulugan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nagsasabi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>:</w:t>
      </w:r>
    </w:p>
    <w:p w14:paraId="35FE1CDD" w14:textId="77777777" w:rsidR="00727A92" w:rsidRPr="007F6978" w:rsidRDefault="00727A92" w:rsidP="00727A9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ay ang </w:t>
      </w:r>
      <w:proofErr w:type="spellStart"/>
      <w:r w:rsidRPr="007F6978">
        <w:rPr>
          <w:color w:val="151547"/>
          <w:lang w:val="en"/>
        </w:rPr>
        <w:t>patuloy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ginagawang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pag-abuso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paggamit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kapangyarihan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relasyon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pamamagitan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paulit-ulit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pasalita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pangkatawan</w:t>
      </w:r>
      <w:proofErr w:type="spellEnd"/>
      <w:r w:rsidRPr="007F6978">
        <w:rPr>
          <w:color w:val="151547"/>
          <w:lang w:val="en"/>
        </w:rPr>
        <w:t xml:space="preserve"> at/o </w:t>
      </w:r>
      <w:proofErr w:type="spellStart"/>
      <w:r w:rsidRPr="007F6978">
        <w:rPr>
          <w:color w:val="151547"/>
          <w:lang w:val="en"/>
        </w:rPr>
        <w:t>sosyal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pag-uugali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nagiging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dahilan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pinsalang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pangkatawan</w:t>
      </w:r>
      <w:proofErr w:type="spellEnd"/>
      <w:r w:rsidRPr="007F6978">
        <w:rPr>
          <w:color w:val="151547"/>
          <w:lang w:val="en"/>
        </w:rPr>
        <w:t xml:space="preserve"> at/o </w:t>
      </w:r>
      <w:proofErr w:type="spellStart"/>
      <w:r w:rsidRPr="007F6978">
        <w:rPr>
          <w:color w:val="151547"/>
          <w:lang w:val="en"/>
        </w:rPr>
        <w:t>pangkaisipan</w:t>
      </w:r>
      <w:proofErr w:type="spellEnd"/>
      <w:r w:rsidRPr="007F6978">
        <w:rPr>
          <w:color w:val="151547"/>
          <w:lang w:val="en"/>
        </w:rPr>
        <w:t xml:space="preserve">. </w:t>
      </w:r>
      <w:proofErr w:type="spellStart"/>
      <w:r w:rsidRPr="007F6978">
        <w:rPr>
          <w:color w:val="151547"/>
          <w:lang w:val="en"/>
        </w:rPr>
        <w:t>Maaaring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tao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grupo</w:t>
      </w:r>
      <w:proofErr w:type="spellEnd"/>
      <w:r w:rsidRPr="007F6978">
        <w:rPr>
          <w:color w:val="151547"/>
          <w:lang w:val="en"/>
        </w:rPr>
        <w:t xml:space="preserve"> ang nag-</w:t>
      </w:r>
      <w:proofErr w:type="spellStart"/>
      <w:r w:rsidRPr="007F6978">
        <w:rPr>
          <w:color w:val="151547"/>
          <w:lang w:val="en"/>
        </w:rPr>
        <w:t>aabuso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paggamit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kapangyarihan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tao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higit</w:t>
      </w:r>
      <w:proofErr w:type="spellEnd"/>
      <w:r w:rsidRPr="007F6978">
        <w:rPr>
          <w:color w:val="151547"/>
          <w:lang w:val="en"/>
        </w:rPr>
        <w:t xml:space="preserve"> pa. Ang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maaaring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mangyaring</w:t>
      </w:r>
      <w:proofErr w:type="spellEnd"/>
      <w:r w:rsidRPr="007F6978">
        <w:rPr>
          <w:color w:val="151547"/>
          <w:lang w:val="en"/>
        </w:rPr>
        <w:t xml:space="preserve"> personal o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online at </w:t>
      </w:r>
      <w:proofErr w:type="spellStart"/>
      <w:r w:rsidRPr="007F6978">
        <w:rPr>
          <w:color w:val="151547"/>
          <w:lang w:val="en"/>
        </w:rPr>
        <w:t>maaari</w:t>
      </w:r>
      <w:proofErr w:type="spellEnd"/>
      <w:r w:rsidRPr="007F6978">
        <w:rPr>
          <w:color w:val="151547"/>
          <w:lang w:val="en"/>
        </w:rPr>
        <w:t xml:space="preserve"> ring </w:t>
      </w:r>
      <w:proofErr w:type="spellStart"/>
      <w:r w:rsidRPr="007F6978">
        <w:rPr>
          <w:color w:val="151547"/>
          <w:lang w:val="en"/>
        </w:rPr>
        <w:t>halata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ito</w:t>
      </w:r>
      <w:proofErr w:type="spellEnd"/>
      <w:r w:rsidRPr="007F6978">
        <w:rPr>
          <w:color w:val="151547"/>
          <w:lang w:val="en"/>
        </w:rPr>
        <w:t xml:space="preserve"> (</w:t>
      </w:r>
      <w:proofErr w:type="spellStart"/>
      <w:r w:rsidRPr="007F6978">
        <w:rPr>
          <w:color w:val="151547"/>
          <w:lang w:val="en"/>
        </w:rPr>
        <w:t>ginawa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lantaran</w:t>
      </w:r>
      <w:proofErr w:type="spellEnd"/>
      <w:r w:rsidRPr="007F6978">
        <w:rPr>
          <w:color w:val="151547"/>
          <w:lang w:val="en"/>
        </w:rPr>
        <w:t xml:space="preserve">) o </w:t>
      </w:r>
      <w:proofErr w:type="spellStart"/>
      <w:r w:rsidRPr="007F6978">
        <w:rPr>
          <w:color w:val="151547"/>
          <w:lang w:val="en"/>
        </w:rPr>
        <w:t>tago</w:t>
      </w:r>
      <w:proofErr w:type="spellEnd"/>
      <w:r w:rsidRPr="007F6978">
        <w:rPr>
          <w:color w:val="151547"/>
          <w:lang w:val="en"/>
        </w:rPr>
        <w:t xml:space="preserve"> (</w:t>
      </w:r>
      <w:proofErr w:type="spellStart"/>
      <w:r w:rsidRPr="007F6978">
        <w:rPr>
          <w:color w:val="151547"/>
          <w:lang w:val="en"/>
        </w:rPr>
        <w:t>patago</w:t>
      </w:r>
      <w:proofErr w:type="spellEnd"/>
      <w:r w:rsidRPr="007F6978">
        <w:rPr>
          <w:color w:val="151547"/>
          <w:lang w:val="en"/>
        </w:rPr>
        <w:t>).</w:t>
      </w:r>
    </w:p>
    <w:p w14:paraId="70A62ACA" w14:textId="77777777" w:rsidR="00727A92" w:rsidRPr="007F6978" w:rsidRDefault="00727A92" w:rsidP="00727A9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anumang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uri</w:t>
      </w:r>
      <w:proofErr w:type="spellEnd"/>
      <w:r w:rsidRPr="007F6978">
        <w:rPr>
          <w:color w:val="151547"/>
          <w:lang w:val="en"/>
        </w:rPr>
        <w:t xml:space="preserve"> at para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anumang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dahilan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maaaring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magkaroon</w:t>
      </w:r>
      <w:proofErr w:type="spellEnd"/>
      <w:r w:rsidRPr="007F6978">
        <w:rPr>
          <w:color w:val="151547"/>
          <w:lang w:val="en"/>
        </w:rPr>
        <w:t xml:space="preserve"> ng pang-</w:t>
      </w:r>
      <w:proofErr w:type="spellStart"/>
      <w:r w:rsidRPr="007F6978">
        <w:rPr>
          <w:color w:val="151547"/>
          <w:lang w:val="en"/>
        </w:rPr>
        <w:t>matagalang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epekto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kasangkot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pati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nanonood</w:t>
      </w:r>
      <w:proofErr w:type="spellEnd"/>
      <w:r w:rsidRPr="007F6978">
        <w:rPr>
          <w:color w:val="151547"/>
          <w:lang w:val="en"/>
        </w:rPr>
        <w:t>.</w:t>
      </w:r>
    </w:p>
    <w:p w14:paraId="31C485CA" w14:textId="77777777" w:rsidR="00727A92" w:rsidRPr="007F6978" w:rsidRDefault="00727A92" w:rsidP="00727A9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nag-</w:t>
      </w:r>
      <w:proofErr w:type="spellStart"/>
      <w:r w:rsidRPr="007F6978">
        <w:rPr>
          <w:color w:val="151547"/>
          <w:lang w:val="en"/>
        </w:rPr>
        <w:t>iisang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pangyayari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hidwaan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awayan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magkapareho</w:t>
      </w:r>
      <w:proofErr w:type="spellEnd"/>
      <w:r w:rsidRPr="007F6978">
        <w:rPr>
          <w:color w:val="151547"/>
          <w:lang w:val="en"/>
        </w:rPr>
        <w:t xml:space="preserve"> (equals) </w:t>
      </w:r>
      <w:proofErr w:type="spellStart"/>
      <w:r w:rsidRPr="007F6978">
        <w:rPr>
          <w:color w:val="151547"/>
          <w:lang w:val="en"/>
        </w:rPr>
        <w:t>maging</w:t>
      </w:r>
      <w:proofErr w:type="spellEnd"/>
      <w:r w:rsidRPr="007F6978">
        <w:rPr>
          <w:color w:val="151547"/>
          <w:lang w:val="en"/>
        </w:rPr>
        <w:t xml:space="preserve"> personal o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online ay </w:t>
      </w:r>
      <w:proofErr w:type="spellStart"/>
      <w:r w:rsidRPr="007F6978">
        <w:rPr>
          <w:color w:val="151547"/>
          <w:lang w:val="en"/>
        </w:rPr>
        <w:t>hindi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nangangahulugang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. </w:t>
      </w:r>
      <w:r w:rsidRPr="007F6978">
        <w:rPr>
          <w:color w:val="151547"/>
          <w:lang w:val="en"/>
        </w:rPr>
        <w:br/>
      </w:r>
    </w:p>
    <w:p w14:paraId="5B4D5A57" w14:textId="77777777" w:rsidR="00727A92" w:rsidRPr="007F6978" w:rsidRDefault="00727A92" w:rsidP="00727A9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Mga </w:t>
      </w:r>
      <w:proofErr w:type="spellStart"/>
      <w:r w:rsidRPr="007F6978">
        <w:rPr>
          <w:color w:val="151547"/>
          <w:lang w:val="en"/>
        </w:rPr>
        <w:t>pag-uugali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hindi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nangangahulugang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ay:</w:t>
      </w:r>
    </w:p>
    <w:p w14:paraId="418FB224" w14:textId="77777777" w:rsidR="00727A92" w:rsidRPr="007F6978" w:rsidRDefault="00727A92" w:rsidP="0044383B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pagtatalo</w:t>
      </w:r>
      <w:proofErr w:type="spellEnd"/>
      <w:r w:rsidRPr="007F6978">
        <w:rPr>
          <w:color w:val="151547"/>
          <w:lang w:val="en"/>
        </w:rPr>
        <w:t xml:space="preserve"> o di-</w:t>
      </w:r>
      <w:proofErr w:type="spellStart"/>
      <w:r w:rsidRPr="007F6978">
        <w:rPr>
          <w:color w:val="151547"/>
          <w:lang w:val="en"/>
        </w:rPr>
        <w:t>pagkakaunawaan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isa’t</w:t>
      </w:r>
      <w:proofErr w:type="spellEnd"/>
      <w:r w:rsidRPr="007F6978">
        <w:rPr>
          <w:color w:val="151547"/>
          <w:lang w:val="en"/>
        </w:rPr>
        <w:t xml:space="preserve"> isa (kung </w:t>
      </w:r>
      <w:proofErr w:type="spellStart"/>
      <w:r w:rsidRPr="007F6978">
        <w:rPr>
          <w:color w:val="151547"/>
          <w:lang w:val="en"/>
        </w:rPr>
        <w:t>saan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walang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kawalan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balanse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kapangyarihan</w:t>
      </w:r>
      <w:proofErr w:type="spellEnd"/>
      <w:r w:rsidRPr="007F6978">
        <w:rPr>
          <w:color w:val="151547"/>
          <w:lang w:val="en"/>
        </w:rPr>
        <w:t>)</w:t>
      </w:r>
    </w:p>
    <w:p w14:paraId="40B1F68E" w14:textId="77777777" w:rsidR="00727A92" w:rsidRPr="007F6978" w:rsidRDefault="00727A92" w:rsidP="0044383B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de-DE"/>
        </w:rPr>
      </w:pPr>
      <w:proofErr w:type="spellStart"/>
      <w:r w:rsidRPr="007F6978">
        <w:rPr>
          <w:color w:val="151547"/>
          <w:lang w:val="de-DE"/>
        </w:rPr>
        <w:t>hindi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pagkagusto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sa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sinuman</w:t>
      </w:r>
      <w:proofErr w:type="spellEnd"/>
      <w:r w:rsidRPr="007F6978">
        <w:rPr>
          <w:color w:val="151547"/>
          <w:lang w:val="de-DE"/>
        </w:rPr>
        <w:t xml:space="preserve"> o </w:t>
      </w:r>
      <w:proofErr w:type="spellStart"/>
      <w:r w:rsidRPr="007F6978">
        <w:rPr>
          <w:color w:val="151547"/>
          <w:lang w:val="de-DE"/>
        </w:rPr>
        <w:t>ang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iisang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lamang</w:t>
      </w:r>
      <w:proofErr w:type="spellEnd"/>
      <w:r w:rsidRPr="007F6978">
        <w:rPr>
          <w:color w:val="151547"/>
          <w:lang w:val="de-DE"/>
        </w:rPr>
        <w:t xml:space="preserve"> na </w:t>
      </w:r>
      <w:proofErr w:type="spellStart"/>
      <w:r w:rsidRPr="007F6978">
        <w:rPr>
          <w:color w:val="151547"/>
          <w:lang w:val="de-DE"/>
        </w:rPr>
        <w:t>kilos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ng</w:t>
      </w:r>
      <w:proofErr w:type="spellEnd"/>
      <w:r w:rsidRPr="007F6978">
        <w:rPr>
          <w:color w:val="151547"/>
          <w:lang w:val="de-DE"/>
        </w:rPr>
        <w:t xml:space="preserve"> </w:t>
      </w:r>
      <w:proofErr w:type="spellStart"/>
      <w:r w:rsidRPr="007F6978">
        <w:rPr>
          <w:color w:val="151547"/>
          <w:lang w:val="de-DE"/>
        </w:rPr>
        <w:t>pagtanggi</w:t>
      </w:r>
      <w:proofErr w:type="spellEnd"/>
    </w:p>
    <w:p w14:paraId="064C7982" w14:textId="77777777" w:rsidR="00727A92" w:rsidRPr="007F6978" w:rsidRDefault="00727A92" w:rsidP="0044383B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iisa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lamang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kilos ng </w:t>
      </w:r>
      <w:proofErr w:type="spellStart"/>
      <w:r w:rsidRPr="007F6978">
        <w:rPr>
          <w:color w:val="151547"/>
          <w:lang w:val="en"/>
        </w:rPr>
        <w:t>kalupitan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galit</w:t>
      </w:r>
      <w:proofErr w:type="spellEnd"/>
    </w:p>
    <w:p w14:paraId="3EDE347D" w14:textId="77777777" w:rsidR="00727A92" w:rsidRPr="007F6978" w:rsidRDefault="00727A92" w:rsidP="0044383B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ilang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pangyayari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pagkapalaaway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karahasan</w:t>
      </w:r>
      <w:proofErr w:type="spellEnd"/>
      <w:r w:rsidRPr="007F6978">
        <w:rPr>
          <w:color w:val="151547"/>
          <w:lang w:val="en"/>
        </w:rPr>
        <w:br/>
      </w:r>
    </w:p>
    <w:p w14:paraId="616C7558" w14:textId="205F0201" w:rsidR="00D575B0" w:rsidRPr="007F6978" w:rsidRDefault="00727A92" w:rsidP="000D4318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lastRenderedPageBreak/>
        <w:t>Gayunman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itong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hidwaan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dapat</w:t>
      </w:r>
      <w:proofErr w:type="spellEnd"/>
      <w:r w:rsidRPr="007F6978">
        <w:rPr>
          <w:color w:val="151547"/>
          <w:lang w:val="en"/>
        </w:rPr>
        <w:t xml:space="preserve"> din </w:t>
      </w:r>
      <w:proofErr w:type="spellStart"/>
      <w:r w:rsidRPr="007F6978">
        <w:rPr>
          <w:color w:val="151547"/>
          <w:lang w:val="en"/>
        </w:rPr>
        <w:t>asikasuhin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lutasin</w:t>
      </w:r>
      <w:proofErr w:type="spellEnd"/>
      <w:r w:rsidRPr="007F6978">
        <w:rPr>
          <w:color w:val="151547"/>
          <w:lang w:val="en"/>
        </w:rPr>
        <w:t>.</w:t>
      </w:r>
      <w:r w:rsidRPr="007F6978">
        <w:rPr>
          <w:color w:val="151547"/>
          <w:lang w:val="en"/>
        </w:rPr>
        <w:br/>
      </w:r>
      <w:r w:rsidRPr="007F6978">
        <w:rPr>
          <w:color w:val="151547"/>
          <w:lang w:val="en"/>
        </w:rPr>
        <w:br/>
      </w:r>
      <w:proofErr w:type="spellStart"/>
      <w:r w:rsidRPr="007F6978">
        <w:rPr>
          <w:color w:val="151547"/>
          <w:lang w:val="en"/>
        </w:rPr>
        <w:t>Gayun</w:t>
      </w:r>
      <w:proofErr w:type="spellEnd"/>
      <w:r w:rsidRPr="007F6978">
        <w:rPr>
          <w:color w:val="151547"/>
          <w:lang w:val="en"/>
        </w:rPr>
        <w:t xml:space="preserve"> din naman, </w:t>
      </w:r>
      <w:proofErr w:type="spellStart"/>
      <w:r w:rsidRPr="007F6978">
        <w:rPr>
          <w:color w:val="151547"/>
          <w:lang w:val="en"/>
        </w:rPr>
        <w:t>hindi</w:t>
      </w:r>
      <w:proofErr w:type="spellEnd"/>
      <w:r w:rsidRPr="007F6978">
        <w:rPr>
          <w:color w:val="151547"/>
          <w:lang w:val="en"/>
        </w:rPr>
        <w:t xml:space="preserve"> lahat ng </w:t>
      </w:r>
      <w:proofErr w:type="spellStart"/>
      <w:r w:rsidRPr="007F6978">
        <w:rPr>
          <w:color w:val="151547"/>
          <w:lang w:val="en"/>
        </w:rPr>
        <w:t>isyu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online (Ang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online kung </w:t>
      </w:r>
      <w:proofErr w:type="spellStart"/>
      <w:r w:rsidRPr="007F6978">
        <w:rPr>
          <w:color w:val="151547"/>
          <w:lang w:val="en"/>
        </w:rPr>
        <w:t>minsan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tinutukoy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cyberbullying at </w:t>
      </w:r>
      <w:proofErr w:type="spellStart"/>
      <w:r w:rsidRPr="007F6978">
        <w:rPr>
          <w:color w:val="151547"/>
          <w:lang w:val="en"/>
        </w:rPr>
        <w:t>ito</w:t>
      </w:r>
      <w:proofErr w:type="spellEnd"/>
      <w:r w:rsidRPr="007F6978">
        <w:rPr>
          <w:color w:val="151547"/>
          <w:lang w:val="en"/>
        </w:rPr>
        <w:t xml:space="preserve"> ay ang </w:t>
      </w:r>
      <w:proofErr w:type="spellStart"/>
      <w:r w:rsidRPr="007F6978">
        <w:rPr>
          <w:color w:val="151547"/>
          <w:lang w:val="en"/>
        </w:rPr>
        <w:t>pananakot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isinasagawa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pamamagitan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teknolohiya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impormasyon</w:t>
      </w:r>
      <w:proofErr w:type="spellEnd"/>
      <w:r w:rsidRPr="007F6978">
        <w:rPr>
          <w:color w:val="151547"/>
          <w:lang w:val="en"/>
        </w:rPr>
        <w:t xml:space="preserve"> at </w:t>
      </w:r>
      <w:proofErr w:type="spellStart"/>
      <w:r w:rsidRPr="007F6978">
        <w:rPr>
          <w:color w:val="151547"/>
          <w:lang w:val="en"/>
        </w:rPr>
        <w:t>komunikasyon</w:t>
      </w:r>
      <w:proofErr w:type="spellEnd"/>
      <w:r w:rsidRPr="007F6978">
        <w:rPr>
          <w:color w:val="151547"/>
          <w:lang w:val="en"/>
        </w:rPr>
        <w:t>).</w:t>
      </w:r>
    </w:p>
    <w:p w14:paraId="0AE0BB2C" w14:textId="408A3A80" w:rsidR="000D4318" w:rsidRPr="007F6978" w:rsidRDefault="000D4318" w:rsidP="000D4318">
      <w:pPr>
        <w:pStyle w:val="Heading2"/>
        <w:rPr>
          <w:color w:val="151547"/>
        </w:rPr>
      </w:pPr>
      <w:proofErr w:type="spellStart"/>
      <w:r w:rsidRPr="007F6978">
        <w:rPr>
          <w:color w:val="151547"/>
        </w:rPr>
        <w:t>Panligalig</w:t>
      </w:r>
      <w:proofErr w:type="spellEnd"/>
    </w:p>
    <w:p w14:paraId="343C8D5F" w14:textId="77777777" w:rsidR="000D4318" w:rsidRPr="007F6978" w:rsidRDefault="000D4318" w:rsidP="000D4318">
      <w:pPr>
        <w:tabs>
          <w:tab w:val="left" w:pos="426"/>
        </w:tabs>
        <w:spacing w:before="240" w:after="240" w:line="240" w:lineRule="auto"/>
        <w:ind w:right="72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panligalig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pag-uugali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nakaturo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tao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pangkat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dahil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kanilang</w:t>
      </w:r>
      <w:proofErr w:type="spellEnd"/>
      <w:r w:rsidRPr="007F6978">
        <w:rPr>
          <w:color w:val="151547"/>
          <w:lang w:val="en"/>
        </w:rPr>
        <w:t>:</w:t>
      </w:r>
    </w:p>
    <w:p w14:paraId="12083D5F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240" w:after="100" w:afterAutospacing="1" w:line="240" w:lineRule="auto"/>
        <w:ind w:right="72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pagkakakilanlan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lahi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kultura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etnolohiya</w:t>
      </w:r>
      <w:proofErr w:type="spellEnd"/>
    </w:p>
    <w:p w14:paraId="61272067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relihiyon</w:t>
      </w:r>
      <w:proofErr w:type="spellEnd"/>
    </w:p>
    <w:p w14:paraId="351306C8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pisikal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katangian</w:t>
      </w:r>
      <w:proofErr w:type="spellEnd"/>
    </w:p>
    <w:p w14:paraId="35F7E7B2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kasarian</w:t>
      </w:r>
      <w:proofErr w:type="spellEnd"/>
    </w:p>
    <w:p w14:paraId="0280649F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sekswal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oryentasyon</w:t>
      </w:r>
      <w:proofErr w:type="spellEnd"/>
    </w:p>
    <w:p w14:paraId="12A0C9C8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-70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tungkol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kasal</w:t>
      </w:r>
      <w:proofErr w:type="spellEnd"/>
      <w:r w:rsidRPr="007F6978">
        <w:rPr>
          <w:color w:val="151547"/>
          <w:lang w:val="en"/>
        </w:rPr>
        <w:t xml:space="preserve"> (</w:t>
      </w:r>
      <w:proofErr w:type="spellStart"/>
      <w:r w:rsidRPr="007F6978">
        <w:rPr>
          <w:color w:val="151547"/>
          <w:lang w:val="en"/>
        </w:rPr>
        <w:t>pag-aasawa</w:t>
      </w:r>
      <w:proofErr w:type="spellEnd"/>
      <w:r w:rsidRPr="007F6978">
        <w:rPr>
          <w:color w:val="151547"/>
          <w:lang w:val="en"/>
        </w:rPr>
        <w:t xml:space="preserve">), </w:t>
      </w:r>
      <w:proofErr w:type="spellStart"/>
      <w:r w:rsidRPr="007F6978">
        <w:rPr>
          <w:color w:val="151547"/>
          <w:lang w:val="en"/>
        </w:rPr>
        <w:t>pagiging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magulang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katayuan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pangkabuhayan</w:t>
      </w:r>
      <w:proofErr w:type="spellEnd"/>
    </w:p>
    <w:p w14:paraId="3D69C2F8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edad</w:t>
      </w:r>
      <w:proofErr w:type="spellEnd"/>
    </w:p>
    <w:p w14:paraId="1D696F40" w14:textId="77777777" w:rsidR="000D4318" w:rsidRPr="007F6978" w:rsidRDefault="000D4318" w:rsidP="0044383B">
      <w:pPr>
        <w:numPr>
          <w:ilvl w:val="0"/>
          <w:numId w:val="12"/>
        </w:numPr>
        <w:tabs>
          <w:tab w:val="left" w:pos="426"/>
        </w:tabs>
        <w:spacing w:before="100" w:beforeAutospacing="1" w:after="240" w:line="240" w:lineRule="auto"/>
        <w:ind w:right="72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abilidad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pagkainutil</w:t>
      </w:r>
      <w:proofErr w:type="spellEnd"/>
    </w:p>
    <w:p w14:paraId="70DDA4D7" w14:textId="77777777" w:rsidR="000D4318" w:rsidRPr="007F6978" w:rsidRDefault="000D4318" w:rsidP="000D4318">
      <w:pPr>
        <w:tabs>
          <w:tab w:val="left" w:pos="426"/>
        </w:tabs>
        <w:spacing w:before="240" w:after="240" w:line="240" w:lineRule="auto"/>
        <w:ind w:right="72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Ito ay </w:t>
      </w:r>
      <w:proofErr w:type="spellStart"/>
      <w:r w:rsidRPr="007F6978">
        <w:rPr>
          <w:color w:val="151547"/>
          <w:lang w:val="en"/>
        </w:rPr>
        <w:t>nakakasugat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damdamin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manghiya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manakot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lumikh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masamang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kapaligiran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Maaaring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ito</w:t>
      </w:r>
      <w:proofErr w:type="spellEnd"/>
      <w:r w:rsidRPr="007F6978">
        <w:rPr>
          <w:color w:val="151547"/>
          <w:lang w:val="en"/>
        </w:rPr>
        <w:t xml:space="preserve"> ay:</w:t>
      </w:r>
    </w:p>
    <w:p w14:paraId="0209CDF6" w14:textId="77777777" w:rsidR="000D4318" w:rsidRPr="007F6978" w:rsidRDefault="000D4318" w:rsidP="0044383B">
      <w:pPr>
        <w:numPr>
          <w:ilvl w:val="0"/>
          <w:numId w:val="13"/>
        </w:numPr>
        <w:tabs>
          <w:tab w:val="left" w:pos="426"/>
        </w:tabs>
        <w:spacing w:before="240" w:after="100" w:afterAutospacing="1" w:line="240" w:lineRule="auto"/>
        <w:ind w:right="72"/>
        <w:rPr>
          <w:color w:val="151547"/>
          <w:lang w:val="en"/>
        </w:rPr>
      </w:pPr>
      <w:proofErr w:type="spellStart"/>
      <w:proofErr w:type="gram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 </w:t>
      </w:r>
      <w:proofErr w:type="spellStart"/>
      <w:r w:rsidRPr="007F6978">
        <w:rPr>
          <w:color w:val="151547"/>
          <w:lang w:val="en"/>
        </w:rPr>
        <w:t>patuloy</w:t>
      </w:r>
      <w:proofErr w:type="spellEnd"/>
      <w:proofErr w:type="gram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pag-uugali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isang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kagagawan</w:t>
      </w:r>
      <w:proofErr w:type="spellEnd"/>
    </w:p>
    <w:p w14:paraId="4D2F019A" w14:textId="77777777" w:rsidR="000D4318" w:rsidRPr="007F6978" w:rsidRDefault="000D4318" w:rsidP="0044383B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nakadirekta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walang</w:t>
      </w:r>
      <w:proofErr w:type="spellEnd"/>
      <w:r w:rsidRPr="007F6978">
        <w:rPr>
          <w:color w:val="151547"/>
          <w:lang w:val="en"/>
        </w:rPr>
        <w:t xml:space="preserve"> pili o </w:t>
      </w:r>
      <w:proofErr w:type="spellStart"/>
      <w:r w:rsidRPr="007F6978">
        <w:rPr>
          <w:color w:val="151547"/>
          <w:lang w:val="en"/>
        </w:rPr>
        <w:t>patungo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parehong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tao</w:t>
      </w:r>
      <w:proofErr w:type="spellEnd"/>
    </w:p>
    <w:p w14:paraId="1F5D435F" w14:textId="77777777" w:rsidR="000D4318" w:rsidRPr="007F6978" w:rsidRDefault="000D4318" w:rsidP="0044383B">
      <w:pPr>
        <w:numPr>
          <w:ilvl w:val="0"/>
          <w:numId w:val="13"/>
        </w:numPr>
        <w:tabs>
          <w:tab w:val="left" w:pos="426"/>
        </w:tabs>
        <w:spacing w:before="100" w:beforeAutospacing="1" w:after="240" w:line="240" w:lineRule="auto"/>
        <w:ind w:right="72"/>
        <w:rPr>
          <w:color w:val="151547"/>
          <w:spacing w:val="-1"/>
        </w:rPr>
      </w:pPr>
      <w:proofErr w:type="spellStart"/>
      <w:r w:rsidRPr="007F6978">
        <w:rPr>
          <w:color w:val="151547"/>
          <w:lang w:val="en"/>
        </w:rPr>
        <w:t>sinadya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hindi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sinasadya</w:t>
      </w:r>
      <w:proofErr w:type="spellEnd"/>
      <w:r w:rsidRPr="007F6978">
        <w:rPr>
          <w:color w:val="151547"/>
          <w:lang w:val="en"/>
        </w:rPr>
        <w:t>.</w:t>
      </w:r>
    </w:p>
    <w:p w14:paraId="11F3110D" w14:textId="77777777" w:rsidR="000D4318" w:rsidRPr="007F6978" w:rsidRDefault="000D4318" w:rsidP="000D4318">
      <w:pPr>
        <w:pStyle w:val="BodyText"/>
        <w:rPr>
          <w:color w:val="151547"/>
        </w:rPr>
      </w:pPr>
    </w:p>
    <w:p w14:paraId="397F75CF" w14:textId="77777777" w:rsidR="000D4318" w:rsidRPr="007F6978" w:rsidRDefault="000D4318" w:rsidP="000D4318">
      <w:pPr>
        <w:pStyle w:val="Heading2"/>
        <w:rPr>
          <w:color w:val="151547"/>
        </w:rPr>
      </w:pPr>
      <w:proofErr w:type="spellStart"/>
      <w:r w:rsidRPr="007F6978">
        <w:rPr>
          <w:color w:val="151547"/>
        </w:rPr>
        <w:t>Pagtangi</w:t>
      </w:r>
      <w:proofErr w:type="spellEnd"/>
      <w:r w:rsidRPr="007F6978">
        <w:rPr>
          <w:color w:val="151547"/>
        </w:rPr>
        <w:t>-tangi</w:t>
      </w:r>
    </w:p>
    <w:p w14:paraId="2FA548FB" w14:textId="77777777" w:rsidR="000D4318" w:rsidRPr="007F6978" w:rsidRDefault="000D4318" w:rsidP="000D4318">
      <w:pPr>
        <w:tabs>
          <w:tab w:val="left" w:pos="426"/>
        </w:tabs>
        <w:spacing w:before="240" w:after="240" w:line="240" w:lineRule="auto"/>
        <w:ind w:right="72"/>
        <w:rPr>
          <w:color w:val="151547"/>
          <w:lang w:val="en"/>
        </w:rPr>
      </w:pPr>
      <w:r w:rsidRPr="007F6978">
        <w:rPr>
          <w:color w:val="151547"/>
          <w:lang w:val="en"/>
        </w:rPr>
        <w:t xml:space="preserve">Ang </w:t>
      </w:r>
      <w:proofErr w:type="spellStart"/>
      <w:r w:rsidRPr="007F6978">
        <w:rPr>
          <w:color w:val="151547"/>
          <w:lang w:val="en"/>
        </w:rPr>
        <w:t>pagtangi</w:t>
      </w:r>
      <w:proofErr w:type="spellEnd"/>
      <w:r w:rsidRPr="007F6978">
        <w:rPr>
          <w:color w:val="151547"/>
          <w:lang w:val="en"/>
        </w:rPr>
        <w:t xml:space="preserve">-tangi ay </w:t>
      </w:r>
      <w:proofErr w:type="spellStart"/>
      <w:r w:rsidRPr="007F6978">
        <w:rPr>
          <w:color w:val="151547"/>
          <w:lang w:val="en"/>
        </w:rPr>
        <w:t>naganap</w:t>
      </w:r>
      <w:proofErr w:type="spellEnd"/>
      <w:r w:rsidRPr="007F6978">
        <w:rPr>
          <w:color w:val="151547"/>
          <w:lang w:val="en"/>
        </w:rPr>
        <w:t xml:space="preserve"> kung ang </w:t>
      </w:r>
      <w:proofErr w:type="spellStart"/>
      <w:r w:rsidRPr="007F6978">
        <w:rPr>
          <w:color w:val="151547"/>
          <w:lang w:val="en"/>
        </w:rPr>
        <w:t>mga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tao</w:t>
      </w:r>
      <w:proofErr w:type="spellEnd"/>
      <w:r w:rsidRPr="007F6978">
        <w:rPr>
          <w:color w:val="151547"/>
          <w:lang w:val="en"/>
        </w:rPr>
        <w:t xml:space="preserve"> ay </w:t>
      </w:r>
      <w:proofErr w:type="spellStart"/>
      <w:r w:rsidRPr="007F6978">
        <w:rPr>
          <w:color w:val="151547"/>
          <w:lang w:val="en"/>
        </w:rPr>
        <w:t>tinuturing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di </w:t>
      </w:r>
      <w:proofErr w:type="spellStart"/>
      <w:r w:rsidRPr="007F6978">
        <w:rPr>
          <w:color w:val="151547"/>
          <w:lang w:val="en"/>
        </w:rPr>
        <w:t>kanais-nais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iba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dahil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kanilang</w:t>
      </w:r>
      <w:proofErr w:type="spellEnd"/>
      <w:r w:rsidRPr="007F6978">
        <w:rPr>
          <w:color w:val="151547"/>
          <w:lang w:val="en"/>
        </w:rPr>
        <w:t>:</w:t>
      </w:r>
    </w:p>
    <w:p w14:paraId="72ED9C53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pagkakalilanlan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lahi</w:t>
      </w:r>
      <w:proofErr w:type="spellEnd"/>
      <w:r w:rsidRPr="007F6978">
        <w:rPr>
          <w:color w:val="151547"/>
          <w:lang w:val="en"/>
        </w:rPr>
        <w:t xml:space="preserve">, </w:t>
      </w:r>
      <w:proofErr w:type="spellStart"/>
      <w:r w:rsidRPr="007F6978">
        <w:rPr>
          <w:color w:val="151547"/>
          <w:lang w:val="en"/>
        </w:rPr>
        <w:t>kultura</w:t>
      </w:r>
      <w:proofErr w:type="spellEnd"/>
      <w:r w:rsidRPr="007F6978">
        <w:rPr>
          <w:color w:val="151547"/>
          <w:lang w:val="en"/>
        </w:rPr>
        <w:t xml:space="preserve">, o </w:t>
      </w:r>
      <w:proofErr w:type="spellStart"/>
      <w:r w:rsidRPr="007F6978">
        <w:rPr>
          <w:color w:val="151547"/>
          <w:lang w:val="en"/>
        </w:rPr>
        <w:t>etnolohiya</w:t>
      </w:r>
      <w:proofErr w:type="spellEnd"/>
    </w:p>
    <w:p w14:paraId="2092FF82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relihiyon</w:t>
      </w:r>
      <w:proofErr w:type="spellEnd"/>
    </w:p>
    <w:p w14:paraId="4260F2AC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pisikal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katangian</w:t>
      </w:r>
      <w:proofErr w:type="spellEnd"/>
    </w:p>
    <w:p w14:paraId="1C4A7F29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kasarian</w:t>
      </w:r>
      <w:proofErr w:type="spellEnd"/>
    </w:p>
    <w:p w14:paraId="70FD1717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sekswal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na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oryentasyon</w:t>
      </w:r>
      <w:proofErr w:type="spellEnd"/>
    </w:p>
    <w:p w14:paraId="386BCD55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tungkol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sa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kasal</w:t>
      </w:r>
      <w:proofErr w:type="spellEnd"/>
      <w:r w:rsidRPr="007F6978">
        <w:rPr>
          <w:color w:val="151547"/>
          <w:lang w:val="en"/>
        </w:rPr>
        <w:t xml:space="preserve"> (</w:t>
      </w:r>
      <w:proofErr w:type="spellStart"/>
      <w:r w:rsidRPr="007F6978">
        <w:rPr>
          <w:color w:val="151547"/>
          <w:lang w:val="en"/>
        </w:rPr>
        <w:t>pag-aasawa</w:t>
      </w:r>
      <w:proofErr w:type="spellEnd"/>
      <w:r w:rsidRPr="007F6978">
        <w:rPr>
          <w:color w:val="151547"/>
          <w:lang w:val="en"/>
        </w:rPr>
        <w:t xml:space="preserve">), </w:t>
      </w:r>
      <w:proofErr w:type="spellStart"/>
      <w:r w:rsidRPr="007F6978">
        <w:rPr>
          <w:color w:val="151547"/>
          <w:lang w:val="en"/>
        </w:rPr>
        <w:t>pagiging</w:t>
      </w:r>
      <w:proofErr w:type="spellEnd"/>
      <w:r w:rsidRPr="007F6978">
        <w:rPr>
          <w:color w:val="151547"/>
          <w:lang w:val="en"/>
        </w:rPr>
        <w:t xml:space="preserve"> </w:t>
      </w:r>
      <w:proofErr w:type="spellStart"/>
      <w:r w:rsidRPr="007F6978">
        <w:rPr>
          <w:color w:val="151547"/>
          <w:lang w:val="en"/>
        </w:rPr>
        <w:t>magulang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katayuan</w:t>
      </w:r>
      <w:proofErr w:type="spellEnd"/>
      <w:r w:rsidRPr="007F6978">
        <w:rPr>
          <w:color w:val="151547"/>
          <w:lang w:val="en"/>
        </w:rPr>
        <w:t xml:space="preserve"> ng </w:t>
      </w:r>
      <w:proofErr w:type="spellStart"/>
      <w:r w:rsidRPr="007F6978">
        <w:rPr>
          <w:color w:val="151547"/>
          <w:lang w:val="en"/>
        </w:rPr>
        <w:t>pangkabuhayan</w:t>
      </w:r>
      <w:proofErr w:type="spellEnd"/>
    </w:p>
    <w:p w14:paraId="1AB11903" w14:textId="77777777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edad</w:t>
      </w:r>
      <w:proofErr w:type="spellEnd"/>
    </w:p>
    <w:p w14:paraId="1719477B" w14:textId="46B05269" w:rsidR="000D4318" w:rsidRPr="007F6978" w:rsidRDefault="000D4318" w:rsidP="0044383B">
      <w:pPr>
        <w:numPr>
          <w:ilvl w:val="0"/>
          <w:numId w:val="14"/>
        </w:numPr>
        <w:tabs>
          <w:tab w:val="left" w:pos="426"/>
        </w:tabs>
        <w:spacing w:before="100" w:beforeAutospacing="1" w:after="240" w:line="240" w:lineRule="auto"/>
        <w:ind w:right="72"/>
        <w:rPr>
          <w:color w:val="151547"/>
          <w:lang w:val="en"/>
        </w:rPr>
      </w:pPr>
      <w:proofErr w:type="spellStart"/>
      <w:r w:rsidRPr="007F6978">
        <w:rPr>
          <w:color w:val="151547"/>
          <w:lang w:val="en"/>
        </w:rPr>
        <w:t>abilidad</w:t>
      </w:r>
      <w:proofErr w:type="spellEnd"/>
      <w:r w:rsidRPr="007F6978">
        <w:rPr>
          <w:color w:val="151547"/>
          <w:lang w:val="en"/>
        </w:rPr>
        <w:t xml:space="preserve"> o </w:t>
      </w:r>
      <w:proofErr w:type="spellStart"/>
      <w:r w:rsidRPr="007F6978">
        <w:rPr>
          <w:color w:val="151547"/>
          <w:lang w:val="en"/>
        </w:rPr>
        <w:t>pagkainutil</w:t>
      </w:r>
      <w:proofErr w:type="spellEnd"/>
      <w:r w:rsidRPr="007F6978">
        <w:rPr>
          <w:color w:val="151547"/>
          <w:lang w:val="en"/>
        </w:rPr>
        <w:t>.</w:t>
      </w:r>
    </w:p>
    <w:p w14:paraId="0DB897B4" w14:textId="77777777" w:rsidR="000D4318" w:rsidRPr="007F6978" w:rsidRDefault="000D4318" w:rsidP="000D4318">
      <w:pPr>
        <w:pStyle w:val="Heading1"/>
        <w:spacing w:before="280"/>
        <w:rPr>
          <w:rFonts w:ascii="Open Sans SemiBold" w:hAnsi="Open Sans SemiBold"/>
          <w:color w:val="151547"/>
          <w:sz w:val="50"/>
          <w:szCs w:val="50"/>
        </w:rPr>
      </w:pPr>
      <w:proofErr w:type="spellStart"/>
      <w:r w:rsidRPr="007F6978">
        <w:rPr>
          <w:rFonts w:ascii="Open Sans SemiBold" w:hAnsi="Open Sans SemiBold"/>
          <w:color w:val="151547"/>
          <w:sz w:val="50"/>
          <w:szCs w:val="50"/>
        </w:rPr>
        <w:lastRenderedPageBreak/>
        <w:t>Karahasan</w:t>
      </w:r>
      <w:proofErr w:type="spellEnd"/>
    </w:p>
    <w:p w14:paraId="7DA09D71" w14:textId="77777777" w:rsidR="000D4318" w:rsidRPr="007F6978" w:rsidRDefault="000D4318" w:rsidP="000D4318">
      <w:pPr>
        <w:tabs>
          <w:tab w:val="left" w:pos="426"/>
        </w:tabs>
        <w:spacing w:before="240" w:after="360" w:line="240" w:lineRule="auto"/>
        <w:ind w:right="72"/>
        <w:rPr>
          <w:color w:val="151547"/>
          <w:sz w:val="21"/>
          <w:szCs w:val="22"/>
          <w:lang w:val="en"/>
        </w:rPr>
      </w:pPr>
      <w:r w:rsidRPr="007F6978">
        <w:rPr>
          <w:color w:val="151547"/>
          <w:sz w:val="21"/>
          <w:szCs w:val="22"/>
          <w:lang w:val="en"/>
        </w:rPr>
        <w:t xml:space="preserve">Ang </w:t>
      </w:r>
      <w:proofErr w:type="spellStart"/>
      <w:r w:rsidRPr="007F6978">
        <w:rPr>
          <w:color w:val="151547"/>
          <w:sz w:val="21"/>
          <w:szCs w:val="22"/>
          <w:lang w:val="en"/>
        </w:rPr>
        <w:t>karahasan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ay </w:t>
      </w:r>
      <w:proofErr w:type="spellStart"/>
      <w:r w:rsidRPr="007F6978">
        <w:rPr>
          <w:color w:val="151547"/>
          <w:sz w:val="21"/>
          <w:szCs w:val="22"/>
          <w:lang w:val="en"/>
        </w:rPr>
        <w:t>intensyonal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pagamit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ng </w:t>
      </w:r>
      <w:proofErr w:type="spellStart"/>
      <w:r w:rsidRPr="007F6978">
        <w:rPr>
          <w:color w:val="151547"/>
          <w:sz w:val="21"/>
          <w:szCs w:val="22"/>
          <w:lang w:val="en"/>
        </w:rPr>
        <w:t>pisikal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puwersa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o </w:t>
      </w:r>
      <w:proofErr w:type="spellStart"/>
      <w:r w:rsidRPr="007F6978">
        <w:rPr>
          <w:color w:val="151547"/>
          <w:sz w:val="21"/>
          <w:szCs w:val="22"/>
          <w:lang w:val="en"/>
        </w:rPr>
        <w:t>kapangyarihan</w:t>
      </w:r>
      <w:proofErr w:type="spellEnd"/>
      <w:r w:rsidRPr="007F6978">
        <w:rPr>
          <w:color w:val="151547"/>
          <w:sz w:val="21"/>
          <w:szCs w:val="22"/>
          <w:lang w:val="en"/>
        </w:rPr>
        <w:t>, (</w:t>
      </w:r>
      <w:proofErr w:type="spellStart"/>
      <w:r w:rsidRPr="007F6978">
        <w:rPr>
          <w:color w:val="151547"/>
          <w:sz w:val="21"/>
          <w:szCs w:val="22"/>
          <w:lang w:val="en"/>
        </w:rPr>
        <w:t>pinagbantaan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or </w:t>
      </w:r>
      <w:proofErr w:type="spellStart"/>
      <w:r w:rsidRPr="007F6978">
        <w:rPr>
          <w:color w:val="151547"/>
          <w:sz w:val="21"/>
          <w:szCs w:val="22"/>
          <w:lang w:val="en"/>
        </w:rPr>
        <w:t>tunay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) </w:t>
      </w:r>
      <w:proofErr w:type="spellStart"/>
      <w:r w:rsidRPr="007F6978">
        <w:rPr>
          <w:color w:val="151547"/>
          <w:sz w:val="21"/>
          <w:szCs w:val="22"/>
          <w:lang w:val="en"/>
        </w:rPr>
        <w:t>laban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sa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isang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tao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magbunga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ng </w:t>
      </w:r>
      <w:proofErr w:type="spellStart"/>
      <w:r w:rsidRPr="007F6978">
        <w:rPr>
          <w:color w:val="151547"/>
          <w:sz w:val="21"/>
          <w:szCs w:val="22"/>
          <w:lang w:val="en"/>
        </w:rPr>
        <w:t>sikolohikal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pinsala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, </w:t>
      </w:r>
      <w:proofErr w:type="spellStart"/>
      <w:r w:rsidRPr="007F6978">
        <w:rPr>
          <w:color w:val="151547"/>
          <w:sz w:val="21"/>
          <w:szCs w:val="22"/>
          <w:lang w:val="en"/>
        </w:rPr>
        <w:t>kapinsalaan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, o </w:t>
      </w:r>
      <w:proofErr w:type="spellStart"/>
      <w:r w:rsidRPr="007F6978">
        <w:rPr>
          <w:color w:val="151547"/>
          <w:sz w:val="21"/>
          <w:szCs w:val="22"/>
          <w:lang w:val="en"/>
        </w:rPr>
        <w:t>sa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ilang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mga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kaso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, </w:t>
      </w:r>
      <w:proofErr w:type="spellStart"/>
      <w:r w:rsidRPr="007F6978">
        <w:rPr>
          <w:color w:val="151547"/>
          <w:sz w:val="21"/>
          <w:szCs w:val="22"/>
          <w:lang w:val="en"/>
        </w:rPr>
        <w:t>kamatayan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.  Ito ay </w:t>
      </w:r>
      <w:proofErr w:type="spellStart"/>
      <w:r w:rsidRPr="007F6978">
        <w:rPr>
          <w:color w:val="151547"/>
          <w:sz w:val="21"/>
          <w:szCs w:val="22"/>
          <w:lang w:val="en"/>
        </w:rPr>
        <w:t>maaaring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may </w:t>
      </w:r>
      <w:proofErr w:type="spellStart"/>
      <w:r w:rsidRPr="007F6978">
        <w:rPr>
          <w:color w:val="151547"/>
          <w:sz w:val="21"/>
          <w:szCs w:val="22"/>
          <w:lang w:val="en"/>
        </w:rPr>
        <w:t>kasangkot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sinasadya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o di </w:t>
      </w:r>
      <w:proofErr w:type="spellStart"/>
      <w:r w:rsidRPr="007F6978">
        <w:rPr>
          <w:color w:val="151547"/>
          <w:sz w:val="21"/>
          <w:szCs w:val="22"/>
          <w:lang w:val="en"/>
        </w:rPr>
        <w:t>sinasadya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kilos at </w:t>
      </w:r>
      <w:proofErr w:type="spellStart"/>
      <w:r w:rsidRPr="007F6978">
        <w:rPr>
          <w:color w:val="151547"/>
          <w:sz w:val="21"/>
          <w:szCs w:val="22"/>
          <w:lang w:val="en"/>
        </w:rPr>
        <w:t>puwede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itong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isang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pangyayari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o </w:t>
      </w:r>
      <w:proofErr w:type="spellStart"/>
      <w:r w:rsidRPr="007F6978">
        <w:rPr>
          <w:color w:val="151547"/>
          <w:sz w:val="21"/>
          <w:szCs w:val="22"/>
          <w:lang w:val="en"/>
        </w:rPr>
        <w:t>walang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pili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kilos </w:t>
      </w:r>
      <w:proofErr w:type="spellStart"/>
      <w:r w:rsidRPr="007F6978">
        <w:rPr>
          <w:color w:val="151547"/>
          <w:sz w:val="21"/>
          <w:szCs w:val="22"/>
          <w:lang w:val="en"/>
        </w:rPr>
        <w:t>na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mangyayari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sa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mahabang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panahon</w:t>
      </w:r>
      <w:proofErr w:type="spellEnd"/>
      <w:r w:rsidRPr="007F6978">
        <w:rPr>
          <w:color w:val="151547"/>
          <w:sz w:val="21"/>
          <w:szCs w:val="22"/>
          <w:lang w:val="en"/>
        </w:rPr>
        <w:t>.</w:t>
      </w:r>
      <w:r w:rsidRPr="007F6978">
        <w:rPr>
          <w:color w:val="151547"/>
          <w:sz w:val="21"/>
          <w:szCs w:val="22"/>
          <w:lang w:val="en"/>
        </w:rPr>
        <w:br/>
      </w:r>
    </w:p>
    <w:p w14:paraId="15C4FC14" w14:textId="77777777" w:rsidR="000D4318" w:rsidRPr="007F6978" w:rsidRDefault="000D4318" w:rsidP="000D4318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sz w:val="21"/>
          <w:szCs w:val="22"/>
          <w:lang w:val="en"/>
        </w:rPr>
      </w:pPr>
      <w:r w:rsidRPr="007F6978">
        <w:rPr>
          <w:color w:val="151547"/>
          <w:sz w:val="21"/>
          <w:szCs w:val="22"/>
          <w:lang w:val="en"/>
        </w:rPr>
        <w:t xml:space="preserve">Ang </w:t>
      </w:r>
      <w:proofErr w:type="spellStart"/>
      <w:r w:rsidRPr="007F6978">
        <w:rPr>
          <w:color w:val="151547"/>
          <w:sz w:val="21"/>
          <w:szCs w:val="22"/>
          <w:lang w:val="en"/>
        </w:rPr>
        <w:t>mga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kahulugan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nitong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“</w:t>
      </w:r>
      <w:proofErr w:type="spellStart"/>
      <w:r w:rsidRPr="007F6978">
        <w:rPr>
          <w:color w:val="151547"/>
          <w:sz w:val="21"/>
          <w:szCs w:val="22"/>
          <w:lang w:val="en"/>
        </w:rPr>
        <w:t>Katiyakang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Kaalaman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” ay </w:t>
      </w:r>
      <w:proofErr w:type="spellStart"/>
      <w:r w:rsidRPr="007F6978">
        <w:rPr>
          <w:color w:val="151547"/>
          <w:sz w:val="21"/>
          <w:szCs w:val="22"/>
          <w:lang w:val="en"/>
        </w:rPr>
        <w:t>mayroong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mahalagang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bagay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at </w:t>
      </w:r>
      <w:proofErr w:type="spellStart"/>
      <w:r w:rsidRPr="007F6978">
        <w:rPr>
          <w:color w:val="151547"/>
          <w:sz w:val="21"/>
          <w:szCs w:val="22"/>
          <w:lang w:val="en"/>
        </w:rPr>
        <w:t>ito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ay </w:t>
      </w:r>
      <w:proofErr w:type="spellStart"/>
      <w:r w:rsidRPr="007F6978">
        <w:rPr>
          <w:color w:val="151547"/>
          <w:sz w:val="21"/>
          <w:szCs w:val="22"/>
          <w:lang w:val="en"/>
        </w:rPr>
        <w:t>kinuha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sa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“Student Wellbeing Hub” it </w:t>
      </w:r>
      <w:proofErr w:type="spellStart"/>
      <w:r w:rsidRPr="007F6978">
        <w:rPr>
          <w:color w:val="151547"/>
          <w:sz w:val="21"/>
          <w:szCs w:val="22"/>
          <w:lang w:val="en"/>
        </w:rPr>
        <w:t>ito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makikita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 </w:t>
      </w:r>
      <w:proofErr w:type="spellStart"/>
      <w:r w:rsidRPr="007F6978">
        <w:rPr>
          <w:color w:val="151547"/>
          <w:sz w:val="21"/>
          <w:szCs w:val="22"/>
          <w:lang w:val="en"/>
        </w:rPr>
        <w:t>sa</w:t>
      </w:r>
      <w:proofErr w:type="spellEnd"/>
      <w:r w:rsidRPr="007F6978">
        <w:rPr>
          <w:color w:val="151547"/>
          <w:sz w:val="21"/>
          <w:szCs w:val="22"/>
          <w:lang w:val="en"/>
        </w:rPr>
        <w:t xml:space="preserve">: </w:t>
      </w:r>
      <w:hyperlink r:id="rId12" w:anchor="/" w:history="1">
        <w:r w:rsidRPr="007F6978">
          <w:rPr>
            <w:rStyle w:val="Hyperlink"/>
            <w:rFonts w:eastAsiaTheme="majorEastAsia"/>
            <w:color w:val="151547"/>
            <w:sz w:val="21"/>
            <w:szCs w:val="22"/>
            <w:lang w:val="en"/>
          </w:rPr>
          <w:t>https://studentwellbeinghub.edu.au/glossary#/</w:t>
        </w:r>
      </w:hyperlink>
      <w:r w:rsidRPr="007F6978">
        <w:rPr>
          <w:color w:val="151547"/>
          <w:sz w:val="21"/>
          <w:szCs w:val="22"/>
          <w:lang w:val="en"/>
        </w:rPr>
        <w:t xml:space="preserve"> </w:t>
      </w:r>
    </w:p>
    <w:p w14:paraId="75566048" w14:textId="77777777" w:rsidR="000D4318" w:rsidRPr="007F6978" w:rsidRDefault="000D4318" w:rsidP="000D4318">
      <w:pPr>
        <w:tabs>
          <w:tab w:val="left" w:pos="426"/>
        </w:tabs>
        <w:spacing w:before="100" w:beforeAutospacing="1" w:after="240" w:line="240" w:lineRule="auto"/>
        <w:ind w:right="72"/>
        <w:rPr>
          <w:color w:val="151547"/>
          <w:lang w:val="en"/>
        </w:rPr>
      </w:pPr>
    </w:p>
    <w:p w14:paraId="17073749" w14:textId="77777777" w:rsidR="000D4318" w:rsidRPr="007F6978" w:rsidRDefault="000D4318" w:rsidP="00727A92">
      <w:pPr>
        <w:tabs>
          <w:tab w:val="left" w:pos="9781"/>
        </w:tabs>
        <w:rPr>
          <w:color w:val="151547"/>
          <w:lang w:val="en"/>
        </w:rPr>
      </w:pPr>
    </w:p>
    <w:sectPr w:rsidR="000D4318" w:rsidRPr="007F6978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54B7" w14:textId="77777777" w:rsidR="001C4BE0" w:rsidRDefault="001C4BE0" w:rsidP="002B7185">
      <w:r>
        <w:pict w14:anchorId="1DBB341C">
          <v:rect id="_x0000_i1027" style="width:0;height:1.5pt" o:hralign="center" o:hrstd="t" o:hr="t" fillcolor="#a0a0a0" stroked="f"/>
        </w:pict>
      </w:r>
    </w:p>
    <w:p w14:paraId="4BDCF0E8" w14:textId="77777777" w:rsidR="001C4BE0" w:rsidRDefault="001C4BE0" w:rsidP="002B7185"/>
  </w:endnote>
  <w:endnote w:type="continuationSeparator" w:id="0">
    <w:p w14:paraId="4C68B6B0" w14:textId="77777777" w:rsidR="001C4BE0" w:rsidRDefault="001C4BE0" w:rsidP="002B7185">
      <w:r>
        <w:pict w14:anchorId="31CAD7F6">
          <v:rect id="_x0000_i1028" style="width:0;height:1.5pt" o:hralign="center" o:hrstd="t" o:hr="t" fillcolor="#a0a0a0" stroked="f"/>
        </w:pict>
      </w:r>
    </w:p>
    <w:p w14:paraId="68356B8E" w14:textId="77777777" w:rsidR="001C4BE0" w:rsidRDefault="001C4BE0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4ED9" w14:textId="77777777" w:rsidR="001C4BE0" w:rsidRPr="00026DC2" w:rsidRDefault="001C4BE0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218F3C5" w14:textId="77777777" w:rsidR="001C4BE0" w:rsidRDefault="001C4BE0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7053E410" w14:textId="77777777" w:rsidR="001C4BE0" w:rsidRDefault="001C4BE0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9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1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2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30"/>
  </w:num>
  <w:num w:numId="11">
    <w:abstractNumId w:val="26"/>
  </w:num>
  <w:num w:numId="12">
    <w:abstractNumId w:val="18"/>
  </w:num>
  <w:num w:numId="13">
    <w:abstractNumId w:val="24"/>
  </w:num>
  <w:num w:numId="1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C4BE0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383B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6978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1FD439EA-02DF-4948-9C72-3DD4EE0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wellbeinghub.edu.au/gloss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2023-08-03T06:35:00+00:00</PPModeratedDate>
    <PPLastReviewedDate xmlns="b70dd679-76a0-4ce0-858d-24cdf2777c25">2023-08-03T06:35:01+00:00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8F510DC89B469984FF78CF0DC21F" ma:contentTypeVersion="0" ma:contentTypeDescription="Create a new document." ma:contentTypeScope="" ma:versionID="3e18a3e566d28a1b17e034f8663dd16b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5AFFD4-6AE7-463C-B60D-7ACD9EB27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KATUTURAN NG PANANAKOT, PANLIGALIG AT PAGTATANGI-TANGI – Fact sheet: Definitions of bullying, harassment and discrimination</dc:title>
  <dc:subject>MGA KATUTURAN NG PANANAKOT, PANLIGALIG AT PAGTATANGI-TANGI</dc:subject>
  <dc:creator>Australian Education Authorities / The State of Queensland</dc:creator>
  <cp:keywords/>
  <dc:description/>
  <cp:revision>3</cp:revision>
  <cp:lastPrinted>2023-05-17T13:54:00Z</cp:lastPrinted>
  <dcterms:created xsi:type="dcterms:W3CDTF">2023-07-04T07:34:00Z</dcterms:created>
  <dcterms:modified xsi:type="dcterms:W3CDTF">2023-07-06T01:26:00Z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0x0101005EFA8F510DC89B469984FF78CF0DC21F</vt:lpwstr>
  </property>
  <property fmtid="{D5CDD505-2E9C-101B-9397-08002B2CF9AE}" pid="3" name="MediaServiceImageTags">
    <vt:lpwstr/>
  </property>
</Properties>
</file>