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0E88" w14:textId="77777777" w:rsidR="001B5D7B" w:rsidRPr="003E404A" w:rsidRDefault="001B5D7B" w:rsidP="001B5D7B">
      <w:pPr>
        <w:pStyle w:val="Documenttitle"/>
        <w:bidi/>
        <w:ind w:right="-205"/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 w:eastAsia="en-US"/>
        </w:rPr>
      </w:pPr>
      <w:bookmarkStart w:id="0" w:name="_Hlk139381546"/>
      <w:r w:rsidRPr="003E404A">
        <w:rPr>
          <w:rFonts w:cs="Arial" w:hint="cs"/>
          <w:b w:val="0"/>
          <w:bCs/>
          <w:color w:val="151547"/>
          <w:sz w:val="70"/>
          <w:szCs w:val="70"/>
          <w:rtl/>
          <w:lang w:val="en-AU" w:eastAsia="en-US"/>
        </w:rPr>
        <w:t>أنواع</w:t>
      </w:r>
      <w:r w:rsidRPr="003E404A"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 w:eastAsia="en-US"/>
        </w:rPr>
        <w:t xml:space="preserve"> </w:t>
      </w:r>
      <w:r w:rsidRPr="003E404A">
        <w:rPr>
          <w:rFonts w:cs="Arial" w:hint="cs"/>
          <w:b w:val="0"/>
          <w:bCs/>
          <w:color w:val="151547"/>
          <w:sz w:val="70"/>
          <w:szCs w:val="70"/>
          <w:rtl/>
          <w:lang w:val="en-AU" w:eastAsia="en-US"/>
        </w:rPr>
        <w:t>التنمُّـر</w:t>
      </w:r>
    </w:p>
    <w:bookmarkEnd w:id="0"/>
    <w:p w14:paraId="07E15EF6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6C04B7E4" w14:textId="77777777" w:rsidR="001B5D7B" w:rsidRPr="003E404A" w:rsidRDefault="001B5D7B" w:rsidP="00C04EA0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bookmarkStart w:id="1" w:name="_Hlk139381640"/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عادة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ما يتم وصف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حسب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أنواع السلوكيات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المرتكبة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لذلك نحن نتحدث عن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اللفظي والاجتماعي </w:t>
      </w:r>
      <w:r w:rsidR="00C04EA0"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والجسدي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0C0F8C55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4B875EF0" w14:textId="77777777" w:rsidR="001B5D7B" w:rsidRPr="003E404A" w:rsidRDefault="001B5D7B" w:rsidP="000B193C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أحيانا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يوصف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أيضا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حسب نوع الفعل المُرتكب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حسب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نوع الأذى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الناتج عنه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ويمكن استخدام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هذه الكلمات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منفردة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مجتمعة. ويمكن أن يكون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تعريف التنمر مربكاً،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أدناه أكثر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الطرق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شيوعا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في وصف التنمر.</w:t>
      </w:r>
    </w:p>
    <w:bookmarkEnd w:id="1"/>
    <w:p w14:paraId="2351F0A9" w14:textId="77777777" w:rsidR="001B5D7B" w:rsidRPr="003E404A" w:rsidRDefault="001B5D7B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أنواع السلوك </w:t>
      </w:r>
      <w:r w:rsidRPr="003E404A"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  <w:t>–</w:t>
      </w: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 اللفظي، الاجتماعي والجسدي</w:t>
      </w:r>
    </w:p>
    <w:p w14:paraId="198A4436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هناك ثلاثة أنواع لسلوك التنمر: </w:t>
      </w:r>
    </w:p>
    <w:p w14:paraId="686783A9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6632E580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 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 xml:space="preserve"> اللفظي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ذي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يشتمل على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التنابز بالألقاب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إهانة شخص ما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بسبب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خصائص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بدنية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مثل الوزن أو الطول، أو غيرها من الصفات بما في ذلك العرق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الميول الجنسي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الثقافة أو الدين</w:t>
      </w:r>
    </w:p>
    <w:p w14:paraId="499B4A0C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 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التنمر الجسدي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الذي يشمل ضرب أو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خلاف ذلك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إيذاء شخص ما، ودفع أو تخويف شخص آخر، أو إتلاف أو سرقة متعلقاته</w:t>
      </w:r>
    </w:p>
    <w:p w14:paraId="65749370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 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التنمر الاجتماعي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الذي يشمل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استبعاد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شخص آخر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باستمرار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أو تبادل المعلومات أو الصور التي يكون لها تأثير ضار على الشخص الآخر.</w:t>
      </w:r>
    </w:p>
    <w:p w14:paraId="44490ACD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41302F84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إذا كان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حدثت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أي من هذه السلوكيات مرة واحدة فقط، أو هي جزء من صراع بين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أنداد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(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حتى ولو لم تكن لائقة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)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فهي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ليست تنمر.</w:t>
      </w:r>
    </w:p>
    <w:p w14:paraId="709BBB02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216236B0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يمكن أن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حدث التنمر اللفظي والجسدي والاجتماعي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وجهاً لوجه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عبر الإنترنت،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بطريقة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مباشرة أو غير مباشرة، علنا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سر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4FD8B443" w14:textId="77777777" w:rsidR="001B5D7B" w:rsidRPr="003E404A" w:rsidRDefault="001B5D7B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بيئة التنمر </w:t>
      </w:r>
      <w:r w:rsidRPr="003E404A"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  <w:t>–</w:t>
      </w: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 وجهاً لوجه أو عبر الانترنت </w:t>
      </w:r>
    </w:p>
    <w:p w14:paraId="47883C44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يمكن أن يحدث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وجهاً لوجه أو عبر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الإنترنت.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يسمى التنمر عبر الإنترنت أحيانا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الإلكتروني.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ويمكن أن يحدث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اللفظي والجسدي والاجتماعي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وجهاً لوجه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ويمكن أن يحدث التنمر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اللفظي والاجتماعي على شبكة الإنترنت،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وكذلك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تهديدات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بالتنمر الجسدي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507CD2F2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5FB56A60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وتشكل سمات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محددة من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بيئة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الانترنت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مخاوفاً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إضافي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للطلاب وأولياء الأمور ومقدمي الرعاية والمعلمين. على سبيل المثال،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فالتنمر على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شخص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ٍ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ما على الانترنت من الممكن أن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يطلع عليه الكثير من الناس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 وتبين البحوث أن الأطفال الذين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يتعرّضون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للتنمر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على الانترنت غالبا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ما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يتعرّضون له وجهاً لوجه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وهذا يعني أن التعامل بشكل فعال مع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على الانترنت يعني النظر في حالات أخرى أيضا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4DBEC442" w14:textId="77777777" w:rsidR="001B5D7B" w:rsidRPr="003E404A" w:rsidRDefault="001B5D7B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الوسائل </w:t>
      </w:r>
      <w:r w:rsidRPr="003E404A"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  <w:t>–</w:t>
      </w: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 مباشرة أو غير مباشرة</w:t>
      </w:r>
    </w:p>
    <w:p w14:paraId="2A7BFA95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 xml:space="preserve"> المباشر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: يحدث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بين الأشخاص المعنيين، في حين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تطال الأفعال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غير المباشرة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أشخاصاً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آخرين، على سبيل المثال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تمرير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شتائم أو نشر الشائعات.</w:t>
      </w:r>
    </w:p>
    <w:p w14:paraId="71490177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18CA1C2F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التنمر غير المباشر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: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يلحق الضرر في الغالب عن طريق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تلويث سمعة شخص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آخر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اجتماعياً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أو تدمير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العلاقات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بين الأصدقاء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و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التأثير على احترام الشخص لنفسه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1CA7E48F" w14:textId="5FDB7314" w:rsidR="001B5D7B" w:rsidRPr="003E404A" w:rsidRDefault="004A15AA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/>
          <w:b w:val="0"/>
          <w:bCs/>
          <w:color w:val="151547"/>
          <w:sz w:val="28"/>
          <w:szCs w:val="28"/>
          <w:rtl/>
          <w:lang w:val="en-AU" w:eastAsia="en-US"/>
        </w:rPr>
        <w:br w:type="page"/>
      </w:r>
      <w:r w:rsidR="001B5D7B"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lastRenderedPageBreak/>
        <w:t>التنمر العلني والسرّ</w:t>
      </w:r>
    </w:p>
    <w:p w14:paraId="6FF7FF3D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قد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يكون من السهل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رؤية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يُطلق عليه في هذه الحالة التنمر العلني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قد يكون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خفي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ع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الأشخاص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غير المشاركين فيه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ويُطلق عليه في هذه الحالة التنمر السرّي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1807B755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7B10E834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التنمر العلني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: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يشمل الأفعال الجسدية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مثل اللكم أو الركل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اللفظي الذي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يمكن ملاحظته مثل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التنابز بالألقاب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والسب.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والتنمر الجسدي العلني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و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مباشر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نوع شائع من أنواع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التنمر. (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ويُطلق عليه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أحيانا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"التنمر التقليدي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"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).</w:t>
      </w:r>
    </w:p>
    <w:p w14:paraId="52A91929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3C3726EA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وقد لا يكون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التنمر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الجسدي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العلني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هو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النوع ال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كثر شيوعا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أنواع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التنمر.</w:t>
      </w:r>
    </w:p>
    <w:p w14:paraId="2ADCC3DD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7252BB7D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التنمر السر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ِّي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: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يمكن أن يكون من المستحيل تقريبا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لأشخاص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غير مشاركين فيه بطريقة مباشرة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التعر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ُّ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ف عليه. ويمكن أن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شمل التنمر السر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ِّ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تكرار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استخدام حركات اليد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أو النظرات ال</w:t>
      </w:r>
      <w:r w:rsidRPr="003E404A">
        <w:rPr>
          <w:rFonts w:cs="Arial"/>
          <w:vanish/>
          <w:color w:val="151547"/>
          <w:sz w:val="22"/>
          <w:szCs w:val="22"/>
          <w:rtl/>
          <w:lang w:val="en-AU" w:eastAsia="en-US"/>
        </w:rPr>
        <w:t xml:space="preserve">وتبدو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غريبة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النظرات 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تهد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د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أو 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همس،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أو الاستبعاد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أو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إعطاء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ظهرك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لل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شخص، وتقييد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مكان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جلوس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لشخص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أو تحديد مَن يمكنه التحدث إليهم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ويمكن أن يحدث التنمر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الاجتماعي أو اللفظي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سر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ِّ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بمكر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أحيانا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 ينكره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شخص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الذي ارتكبه بحجة أنه كان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يمزح أو "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فعله لمجرد المرَح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".</w:t>
      </w:r>
    </w:p>
    <w:p w14:paraId="6AEFB22E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08936DA6" w14:textId="77777777" w:rsidR="001B5D7B" w:rsidRPr="003E404A" w:rsidRDefault="001B5D7B" w:rsidP="000B193C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وقد يكون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التنمر 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سري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اً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 xml:space="preserve"> وغير مباشر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، وعادة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مخفي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بتعمُّد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، ويصعب جدا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على ا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لآخرين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رؤيته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ويمكن أن يشتمل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هذا النوع من التنمر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على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نشر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التهديد بنشر 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شائعات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الابتزاز، سرقة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أصدقاء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إفشاء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الأسرار، النميمة،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انتقاد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الملابس و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الصفات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الشخص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لحق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التنمر غير المباشر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الضرر في الغالب عن طريق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تلويث سمعة شخص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آخر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اجتماعياً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أو تدمير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العلاقات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بين الأصدقاء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و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التأثير على احترام الشخص لنفسه، عن طريق الأذى النفسي أكثر من الأذى البدني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1AE2322E" w14:textId="77777777" w:rsidR="001B5D7B" w:rsidRPr="003E404A" w:rsidRDefault="001B5D7B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الأذى </w:t>
      </w:r>
      <w:r w:rsidRPr="003E404A"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  <w:t>–</w:t>
      </w: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 البدني والنفسي</w:t>
      </w:r>
    </w:p>
    <w:p w14:paraId="72ABBD04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يمكن أن يتسبب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في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الأذى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(وإن لم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ت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كن كل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الأفعال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غير المرغوب فيها تسبب بالضرورة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الأذى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).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وينجم 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الأذى البدني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عن بعض أنواع التنمر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وهو شائع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417F2608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45E2EA2E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وفي الآونة الأخيرة، أكدت الأبحاث أن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التنمر يمكن أن يسبب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>أذى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 xml:space="preserve"> نفسي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على المدى القصير والطويل. ويشمل ذلك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الا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ضر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بالوضع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الاجتماعي للشخص أو الحد من رغبة الشخص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في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الانخراط في المجتمع من خلال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بسبب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التنمر (التنمر الاجتماعي السري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على وجه الخصوص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).</w:t>
      </w:r>
    </w:p>
    <w:p w14:paraId="2D3EC86B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5C9B8550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في الواقع، مجرد 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>الخوف من</w:t>
      </w:r>
      <w:r w:rsidRPr="003E404A">
        <w:rPr>
          <w:rFonts w:cs="Arial" w:hint="cs"/>
          <w:b w:val="0"/>
          <w:bCs/>
          <w:color w:val="151547"/>
          <w:sz w:val="22"/>
          <w:szCs w:val="22"/>
          <w:rtl/>
          <w:lang w:val="en-AU" w:eastAsia="en-US"/>
        </w:rPr>
        <w:t xml:space="preserve"> حدوث</w:t>
      </w:r>
      <w:r w:rsidRPr="003E404A">
        <w:rPr>
          <w:rFonts w:cs="Arial"/>
          <w:b w:val="0"/>
          <w:bCs/>
          <w:color w:val="151547"/>
          <w:sz w:val="22"/>
          <w:szCs w:val="22"/>
          <w:rtl/>
          <w:lang w:val="en-AU" w:eastAsia="en-US"/>
        </w:rPr>
        <w:t xml:space="preserve"> 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يمكن أن تخلق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الأسى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والأذى.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ويمكن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ؤدي التنمر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المستمر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إلى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شعور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شخص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المتعرِّض له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بالعجز وعدم القدرة على وقف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يمكن أن تستمر آثار التنمر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في الاستمرار ح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تى بعد حل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المشكلة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خاصة على الصحة العقلية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لمتورطين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فيه ورفاهتهم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بما في ذلك من يشاهدونه أو يحضرونه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.</w:t>
      </w:r>
    </w:p>
    <w:p w14:paraId="55564319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69590BA4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أحيانا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ً،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يتم استخدام مصطلح "التنمر النفسي" لوصف اطلاق التهديدات وخلق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خوف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مستمر،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لكنه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يكون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أكثر دقة لوصف نوع من السلوك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مثل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'التنمر اللفظي أو الاجتماعي"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وتأثير ذلك على الشخص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المتعرض للتنمر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مثل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"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الأذى النفسي".</w:t>
      </w:r>
    </w:p>
    <w:p w14:paraId="1820928F" w14:textId="77777777" w:rsidR="001B5D7B" w:rsidRPr="003E404A" w:rsidRDefault="001B5D7B" w:rsidP="001B5D7B">
      <w:pPr>
        <w:pStyle w:val="Heading1"/>
        <w:bidi/>
        <w:ind w:right="34"/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</w:pP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السياق </w:t>
      </w:r>
      <w:r w:rsidRPr="003E404A">
        <w:rPr>
          <w:rFonts w:cs="Arial"/>
          <w:b w:val="0"/>
          <w:bCs/>
          <w:color w:val="151547"/>
          <w:sz w:val="50"/>
          <w:szCs w:val="50"/>
          <w:rtl/>
          <w:lang w:val="en-AU" w:eastAsia="en-US"/>
        </w:rPr>
        <w:t>–</w:t>
      </w:r>
      <w:r w:rsidRPr="003E404A">
        <w:rPr>
          <w:rFonts w:cs="Arial" w:hint="cs"/>
          <w:b w:val="0"/>
          <w:bCs/>
          <w:color w:val="151547"/>
          <w:sz w:val="50"/>
          <w:szCs w:val="50"/>
          <w:rtl/>
          <w:lang w:val="en-AU" w:eastAsia="en-US"/>
        </w:rPr>
        <w:t xml:space="preserve"> المنزل، مكان العمل والمدرسة </w:t>
      </w:r>
    </w:p>
    <w:p w14:paraId="34A334B8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</w:p>
    <w:p w14:paraId="742A363B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يمكن أن يحدث التنمر في أي مكان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؛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في المنزل أو في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مكان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العمل أو في المدرسة. ويمكن أن يحدث لأي شخص.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</w:t>
      </w:r>
    </w:p>
    <w:p w14:paraId="126F68E7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lang w:val="en-AU" w:eastAsia="en-US"/>
        </w:rPr>
      </w:pPr>
    </w:p>
    <w:p w14:paraId="571815F2" w14:textId="77777777" w:rsidR="001B5D7B" w:rsidRPr="003E404A" w:rsidRDefault="001B5D7B" w:rsidP="001B5D7B">
      <w:pPr>
        <w:pStyle w:val="Documenttitle"/>
        <w:bidi/>
        <w:spacing w:after="0" w:line="240" w:lineRule="auto"/>
        <w:rPr>
          <w:rFonts w:cs="Arial"/>
          <w:color w:val="151547"/>
          <w:sz w:val="22"/>
          <w:szCs w:val="22"/>
          <w:rtl/>
          <w:lang w:val="en-AU" w:eastAsia="en-US"/>
        </w:rPr>
      </w:pP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يمكن أن يحدث التنمر بين الطلاب والموظفين والآباء/مقدمي الرعاية.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. لا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مجال!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يجب التركيز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على التنمر بين الطلاب.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و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يجب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على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المعلمين الذين يعانون من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التنمر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في المدرسة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الاتصال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بممثل الصحة والسلامة، وإدارة الموارد البشرية أو الاتحاد.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تتوفر 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معلومات متعلقة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>ب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>التنمر في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 مكان</w:t>
      </w:r>
      <w:r w:rsidRPr="003E404A">
        <w:rPr>
          <w:rFonts w:cs="Arial"/>
          <w:color w:val="151547"/>
          <w:sz w:val="22"/>
          <w:szCs w:val="22"/>
          <w:rtl/>
          <w:lang w:val="en-AU" w:eastAsia="en-US"/>
        </w:rPr>
        <w:t xml:space="preserve"> العمل </w:t>
      </w:r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في الموقع الالكتروني للمفوضية الأسترالية لعدالة العمل </w:t>
      </w:r>
      <w:hyperlink r:id="rId12" w:history="1">
        <w:r w:rsidRPr="003E404A">
          <w:rPr>
            <w:rFonts w:cs="Arial"/>
            <w:color w:val="151547"/>
            <w:sz w:val="22"/>
            <w:lang w:eastAsia="en-US"/>
          </w:rPr>
          <w:t>https://www.fwc.gov.au/</w:t>
        </w:r>
      </w:hyperlink>
      <w:r w:rsidRPr="003E404A">
        <w:rPr>
          <w:rFonts w:cs="Arial" w:hint="cs"/>
          <w:color w:val="151547"/>
          <w:sz w:val="22"/>
          <w:szCs w:val="22"/>
          <w:rtl/>
          <w:lang w:val="en-AU" w:eastAsia="en-US"/>
        </w:rPr>
        <w:t xml:space="preserve">.  </w:t>
      </w:r>
    </w:p>
    <w:sectPr w:rsidR="001B5D7B" w:rsidRPr="003E404A" w:rsidSect="00806FED">
      <w:headerReference w:type="default" r:id="rId13"/>
      <w:footerReference w:type="default" r:id="rId14"/>
      <w:pgSz w:w="11900" w:h="16840"/>
      <w:pgMar w:top="2552" w:right="126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66BD" w14:textId="77777777" w:rsidR="00AC3658" w:rsidRDefault="00AC3658" w:rsidP="006B5153">
      <w:pPr>
        <w:spacing w:after="0" w:line="240" w:lineRule="auto"/>
      </w:pPr>
      <w:r>
        <w:separator/>
      </w:r>
    </w:p>
  </w:endnote>
  <w:endnote w:type="continuationSeparator" w:id="0">
    <w:p w14:paraId="1315F41D" w14:textId="77777777" w:rsidR="00AC3658" w:rsidRDefault="00AC3658" w:rsidP="006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4AA" w14:textId="62F05DA6" w:rsidR="00D218F0" w:rsidRDefault="00D218F0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44CE46B0" wp14:editId="1FE302D5">
          <wp:simplePos x="0" y="0"/>
          <wp:positionH relativeFrom="page">
            <wp:posOffset>5480685</wp:posOffset>
          </wp:positionH>
          <wp:positionV relativeFrom="page">
            <wp:posOffset>9994900</wp:posOffset>
          </wp:positionV>
          <wp:extent cx="2080895" cy="698500"/>
          <wp:effectExtent l="0" t="0" r="0" b="0"/>
          <wp:wrapNone/>
          <wp:docPr id="5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picture containing font, screenshot, text, graphics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FC00" w14:textId="77777777" w:rsidR="00AC3658" w:rsidRDefault="00AC3658" w:rsidP="006B5153">
      <w:pPr>
        <w:spacing w:after="0" w:line="240" w:lineRule="auto"/>
      </w:pPr>
      <w:r>
        <w:separator/>
      </w:r>
    </w:p>
  </w:footnote>
  <w:footnote w:type="continuationSeparator" w:id="0">
    <w:p w14:paraId="1C9B121F" w14:textId="77777777" w:rsidR="00AC3658" w:rsidRDefault="00AC3658" w:rsidP="006B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85D" w14:textId="1089C5C4" w:rsidR="006B5153" w:rsidRDefault="00D218F0">
    <w:pPr>
      <w:pStyle w:val="Header"/>
    </w:pPr>
    <w:r>
      <w:rPr>
        <w:noProof/>
      </w:rPr>
      <w:drawing>
        <wp:anchor distT="0" distB="269875" distL="114300" distR="114300" simplePos="0" relativeHeight="251660288" behindDoc="1" locked="1" layoutInCell="1" allowOverlap="1" wp14:anchorId="675D6502" wp14:editId="5362CE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450" cy="961390"/>
          <wp:effectExtent l="0" t="0" r="0" b="0"/>
          <wp:wrapTopAndBottom/>
          <wp:docPr id="4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orang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C181411"/>
    <w:multiLevelType w:val="hybridMultilevel"/>
    <w:tmpl w:val="1E749CCC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4BD1077"/>
    <w:multiLevelType w:val="hybridMultilevel"/>
    <w:tmpl w:val="B1B26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087"/>
    <w:multiLevelType w:val="hybridMultilevel"/>
    <w:tmpl w:val="9856A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5756"/>
    <w:multiLevelType w:val="hybridMultilevel"/>
    <w:tmpl w:val="89028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4341D"/>
    <w:multiLevelType w:val="hybridMultilevel"/>
    <w:tmpl w:val="0032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4302"/>
    <w:multiLevelType w:val="multilevel"/>
    <w:tmpl w:val="D41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73CBC"/>
    <w:multiLevelType w:val="hybridMultilevel"/>
    <w:tmpl w:val="8EFE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53"/>
    <w:rsid w:val="00017AF4"/>
    <w:rsid w:val="000335FC"/>
    <w:rsid w:val="00047C59"/>
    <w:rsid w:val="0005024E"/>
    <w:rsid w:val="0008248D"/>
    <w:rsid w:val="00087DFE"/>
    <w:rsid w:val="00093F3E"/>
    <w:rsid w:val="000A617D"/>
    <w:rsid w:val="000A74B2"/>
    <w:rsid w:val="000B193C"/>
    <w:rsid w:val="00106935"/>
    <w:rsid w:val="00116E50"/>
    <w:rsid w:val="00120FE5"/>
    <w:rsid w:val="001B5D7B"/>
    <w:rsid w:val="001B6F74"/>
    <w:rsid w:val="001C4A76"/>
    <w:rsid w:val="001D5143"/>
    <w:rsid w:val="001E6627"/>
    <w:rsid w:val="0022035D"/>
    <w:rsid w:val="0022479C"/>
    <w:rsid w:val="00283907"/>
    <w:rsid w:val="002A2829"/>
    <w:rsid w:val="002B0CC7"/>
    <w:rsid w:val="002B12C5"/>
    <w:rsid w:val="002C7FFD"/>
    <w:rsid w:val="002E72D0"/>
    <w:rsid w:val="002F1720"/>
    <w:rsid w:val="003324BB"/>
    <w:rsid w:val="00360F88"/>
    <w:rsid w:val="003778BB"/>
    <w:rsid w:val="00396C4B"/>
    <w:rsid w:val="003E404A"/>
    <w:rsid w:val="003F0C0B"/>
    <w:rsid w:val="0041070C"/>
    <w:rsid w:val="00434033"/>
    <w:rsid w:val="004A15AA"/>
    <w:rsid w:val="004F14BE"/>
    <w:rsid w:val="004F5914"/>
    <w:rsid w:val="005178A3"/>
    <w:rsid w:val="00532456"/>
    <w:rsid w:val="0055734D"/>
    <w:rsid w:val="00562332"/>
    <w:rsid w:val="005A41E7"/>
    <w:rsid w:val="005A4C5D"/>
    <w:rsid w:val="005A7B0A"/>
    <w:rsid w:val="005B11F0"/>
    <w:rsid w:val="005B2BC2"/>
    <w:rsid w:val="005B7BFF"/>
    <w:rsid w:val="005D76D0"/>
    <w:rsid w:val="00612F54"/>
    <w:rsid w:val="0062470C"/>
    <w:rsid w:val="00645AE6"/>
    <w:rsid w:val="006520CE"/>
    <w:rsid w:val="0066635F"/>
    <w:rsid w:val="00677667"/>
    <w:rsid w:val="00685139"/>
    <w:rsid w:val="006932AA"/>
    <w:rsid w:val="00696B7C"/>
    <w:rsid w:val="006A227A"/>
    <w:rsid w:val="006B5153"/>
    <w:rsid w:val="006F496F"/>
    <w:rsid w:val="0073334A"/>
    <w:rsid w:val="007532EB"/>
    <w:rsid w:val="007B1224"/>
    <w:rsid w:val="007F7D3A"/>
    <w:rsid w:val="00806FED"/>
    <w:rsid w:val="00822C88"/>
    <w:rsid w:val="008511A9"/>
    <w:rsid w:val="00873F7F"/>
    <w:rsid w:val="0089104B"/>
    <w:rsid w:val="008B1162"/>
    <w:rsid w:val="008D63CF"/>
    <w:rsid w:val="009932F9"/>
    <w:rsid w:val="009D1DF0"/>
    <w:rsid w:val="00A0049E"/>
    <w:rsid w:val="00A128AA"/>
    <w:rsid w:val="00A247BF"/>
    <w:rsid w:val="00A41F19"/>
    <w:rsid w:val="00AB4E26"/>
    <w:rsid w:val="00AC1D38"/>
    <w:rsid w:val="00AC3658"/>
    <w:rsid w:val="00B8085C"/>
    <w:rsid w:val="00BD45DC"/>
    <w:rsid w:val="00C04EA0"/>
    <w:rsid w:val="00C11743"/>
    <w:rsid w:val="00C922C2"/>
    <w:rsid w:val="00CA0ACF"/>
    <w:rsid w:val="00CF1052"/>
    <w:rsid w:val="00CF7253"/>
    <w:rsid w:val="00D218F0"/>
    <w:rsid w:val="00D34EBA"/>
    <w:rsid w:val="00D97AB6"/>
    <w:rsid w:val="00DA5F19"/>
    <w:rsid w:val="00DF22DA"/>
    <w:rsid w:val="00E840A5"/>
    <w:rsid w:val="00E936E1"/>
    <w:rsid w:val="00ED57FB"/>
    <w:rsid w:val="00F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AA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53"/>
    <w:pPr>
      <w:widowControl w:val="0"/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Arial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53"/>
    <w:pPr>
      <w:spacing w:before="360"/>
      <w:outlineLvl w:val="0"/>
    </w:pPr>
    <w:rPr>
      <w:rFonts w:cs="Times New Roman"/>
      <w:b/>
      <w:color w:val="auto"/>
      <w:sz w:val="32"/>
      <w:szCs w:val="2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153"/>
    <w:pPr>
      <w:keepNext/>
      <w:keepLines/>
      <w:spacing w:before="240"/>
      <w:outlineLvl w:val="1"/>
    </w:pPr>
    <w:rPr>
      <w:rFonts w:eastAsia="SimSun" w:cs="Times New Roman"/>
      <w:b/>
      <w:bCs/>
      <w:color w:val="auto"/>
      <w:sz w:val="28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153"/>
    <w:pPr>
      <w:keepNext/>
      <w:keepLines/>
      <w:spacing w:before="240"/>
      <w:outlineLvl w:val="2"/>
    </w:pPr>
    <w:rPr>
      <w:rFonts w:eastAsia="SimSun" w:cs="Times New Roman"/>
      <w:b/>
      <w:bCs/>
      <w:color w:val="auto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53"/>
  </w:style>
  <w:style w:type="paragraph" w:styleId="Footer">
    <w:name w:val="footer"/>
    <w:basedOn w:val="Normal"/>
    <w:link w:val="Foot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53"/>
  </w:style>
  <w:style w:type="paragraph" w:styleId="BalloonText">
    <w:name w:val="Balloon Text"/>
    <w:basedOn w:val="Normal"/>
    <w:link w:val="BalloonTextChar"/>
    <w:uiPriority w:val="99"/>
    <w:semiHidden/>
    <w:unhideWhenUsed/>
    <w:rsid w:val="006B5153"/>
    <w:rPr>
      <w:rFonts w:ascii="Lucida Grande" w:hAnsi="Lucida Grande" w:cs="Times New Roman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5153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B5153"/>
    <w:rPr>
      <w:rFonts w:ascii="Arial" w:eastAsia="MS Mincho" w:hAnsi="Arial" w:cs="Arial"/>
      <w:b/>
      <w:sz w:val="32"/>
      <w:szCs w:val="26"/>
      <w:lang w:val="en-GB"/>
    </w:rPr>
  </w:style>
  <w:style w:type="character" w:customStyle="1" w:styleId="Heading2Char">
    <w:name w:val="Heading 2 Char"/>
    <w:link w:val="Heading2"/>
    <w:uiPriority w:val="9"/>
    <w:rsid w:val="006B5153"/>
    <w:rPr>
      <w:rFonts w:ascii="Arial" w:eastAsia="SimSun" w:hAnsi="Arial" w:cs="Times New Roman"/>
      <w:b/>
      <w:bCs/>
      <w:sz w:val="28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6B5153"/>
    <w:rPr>
      <w:rFonts w:ascii="Arial" w:eastAsia="SimSun" w:hAnsi="Arial" w:cs="Times New Roman"/>
      <w:b/>
      <w:bCs/>
      <w:szCs w:val="20"/>
      <w:lang w:val="en-GB"/>
    </w:rPr>
  </w:style>
  <w:style w:type="paragraph" w:customStyle="1" w:styleId="Documenttitle">
    <w:name w:val="Document title"/>
    <w:basedOn w:val="Normal"/>
    <w:link w:val="DocumenttitleChar"/>
    <w:rsid w:val="006B5153"/>
    <w:pPr>
      <w:spacing w:line="460" w:lineRule="atLeast"/>
    </w:pPr>
    <w:rPr>
      <w:rFonts w:cs="Times New Roman"/>
      <w:b/>
      <w:color w:val="FFFFFF"/>
      <w:sz w:val="40"/>
      <w:szCs w:val="40"/>
      <w:lang w:val="en-US" w:eastAsia="x-none"/>
    </w:rPr>
  </w:style>
  <w:style w:type="character" w:customStyle="1" w:styleId="DocumenttitleChar">
    <w:name w:val="Document title Char"/>
    <w:link w:val="Documenttitle"/>
    <w:rsid w:val="006B5153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1162"/>
    <w:pPr>
      <w:suppressAutoHyphens w:val="0"/>
      <w:spacing w:after="0" w:line="240" w:lineRule="auto"/>
      <w:ind w:left="3292" w:hanging="360"/>
      <w:textAlignment w:val="auto"/>
    </w:pPr>
    <w:rPr>
      <w:rFonts w:eastAsia="SimSun" w:cs="Times New Roman"/>
      <w:color w:val="auto"/>
      <w:szCs w:val="22"/>
      <w:lang w:val="x-none" w:eastAsia="x-none"/>
    </w:rPr>
  </w:style>
  <w:style w:type="character" w:customStyle="1" w:styleId="BodyTextChar">
    <w:name w:val="Body Text Char"/>
    <w:link w:val="BodyText"/>
    <w:uiPriority w:val="1"/>
    <w:rsid w:val="008B1162"/>
    <w:rPr>
      <w:rFonts w:ascii="Arial" w:eastAsia="SimSun" w:hAnsi="Arial" w:cs="Arial"/>
      <w:sz w:val="22"/>
      <w:szCs w:val="22"/>
    </w:rPr>
  </w:style>
  <w:style w:type="character" w:customStyle="1" w:styleId="ms-rtestyle-quote">
    <w:name w:val="ms-rtestyle-quote"/>
    <w:rsid w:val="008B1162"/>
  </w:style>
  <w:style w:type="character" w:styleId="Hyperlink">
    <w:name w:val="Hyperlink"/>
    <w:uiPriority w:val="99"/>
    <w:unhideWhenUsed/>
    <w:rsid w:val="00CA0ACF"/>
    <w:rPr>
      <w:color w:val="0000FF"/>
      <w:u w:val="single"/>
    </w:rPr>
  </w:style>
  <w:style w:type="table" w:styleId="TableGrid">
    <w:name w:val="Table Grid"/>
    <w:basedOn w:val="TableNormal"/>
    <w:uiPriority w:val="59"/>
    <w:rsid w:val="0051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71AD15FF054BBC371AEC226639C7" ma:contentTypeVersion="0" ma:contentTypeDescription="Create a new document." ma:contentTypeScope="" ma:versionID="4fd2b606ef9b050b04a3c5a83946ef9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2023-08-03T06:35:05+00:00</PPModeratedDate>
    <PPLastReviewedDate xmlns="b70dd679-76a0-4ce0-858d-24cdf2777c25">2023-08-03T06:35:05+00:00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63EBF-411C-4C39-B653-3E5FDCA6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dd679-76a0-4ce0-858d-24cdf277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CCBA2-E0E2-4529-B1A0-25429CB9D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8FB53-AC11-402C-9C31-92412E7A30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D954D5-174D-47BB-927B-8F14F3FECCD3}">
  <ds:schemaRefs>
    <ds:schemaRef ds:uri="http://schemas.microsoft.com/office/2006/metadata/properties"/>
    <ds:schemaRef ds:uri="http://schemas.microsoft.com/office/infopath/2007/PartnerControls"/>
    <ds:schemaRef ds:uri="b70dd679-76a0-4ce0-858d-24cdf2777c25"/>
  </ds:schemaRefs>
</ds:datastoreItem>
</file>

<file path=customXml/itemProps5.xml><?xml version="1.0" encoding="utf-8"?>
<ds:datastoreItem xmlns:ds="http://schemas.openxmlformats.org/officeDocument/2006/customXml" ds:itemID="{DD120FCF-53EA-4058-9AE3-124E6FD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أنواع التنمُّـر - Fact sheet: Types of bullying</vt:lpstr>
    </vt:vector>
  </TitlesOfParts>
  <Company/>
  <LinksUpToDate>false</LinksUpToDate>
  <CharactersWithSpaces>4773</CharactersWithSpaces>
  <SharedDoc>false</SharedDoc>
  <HLinks>
    <vt:vector size="6" baseType="variant"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أنواع التنمُّـر – Fact sheet: Types of bullying</dc:title>
  <dc:subject>أنواع التنمُّـر</dc:subject>
  <dc:creator>Australian Education Authorities / The State of Queensland</dc:creator>
  <cp:keywords/>
  <cp:lastModifiedBy/>
  <cp:revision>1</cp:revision>
  <dcterms:created xsi:type="dcterms:W3CDTF">2023-07-04T07:03:00Z</dcterms:created>
  <dcterms:modified xsi:type="dcterms:W3CDTF">2023-07-06T01:22:00Z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TAUBERT, Rebecca</vt:lpwstr>
  </property>
  <property fmtid="{D5CDD505-2E9C-101B-9397-08002B2CF9AE}" pid="3" name="ContentTypeId">
    <vt:lpwstr>0x0101007A9A71AD15FF054BBC371AEC226639C7</vt:lpwstr>
  </property>
</Properties>
</file>